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6AA7F1" w14:textId="77777777" w:rsidR="00625637" w:rsidRDefault="0087575E">
      <w:pPr>
        <w:spacing w:after="288" w:line="259" w:lineRule="auto"/>
        <w:ind w:left="-729" w:right="-720" w:firstLine="0"/>
        <w:jc w:val="left"/>
      </w:pPr>
      <w:r>
        <w:rPr>
          <w:noProof/>
        </w:rPr>
        <w:drawing>
          <wp:inline distT="0" distB="0" distL="0" distR="0" wp14:anchorId="1B29CCCC" wp14:editId="2DA269D4">
            <wp:extent cx="7025853" cy="8377224"/>
            <wp:effectExtent l="0" t="0" r="0" b="0"/>
            <wp:docPr id="96355" name="Picture 96355"/>
            <wp:cNvGraphicFramePr/>
            <a:graphic xmlns:a="http://schemas.openxmlformats.org/drawingml/2006/main">
              <a:graphicData uri="http://schemas.openxmlformats.org/drawingml/2006/picture">
                <pic:pic xmlns:pic="http://schemas.openxmlformats.org/drawingml/2006/picture">
                  <pic:nvPicPr>
                    <pic:cNvPr id="96355" name="Picture 96355"/>
                    <pic:cNvPicPr/>
                  </pic:nvPicPr>
                  <pic:blipFill>
                    <a:blip r:embed="rId8"/>
                    <a:stretch>
                      <a:fillRect/>
                    </a:stretch>
                  </pic:blipFill>
                  <pic:spPr>
                    <a:xfrm>
                      <a:off x="0" y="0"/>
                      <a:ext cx="7025853" cy="8377224"/>
                    </a:xfrm>
                    <a:prstGeom prst="rect">
                      <a:avLst/>
                    </a:prstGeom>
                  </pic:spPr>
                </pic:pic>
              </a:graphicData>
            </a:graphic>
          </wp:inline>
        </w:drawing>
      </w:r>
    </w:p>
    <w:p w14:paraId="40B99E1F" w14:textId="77777777" w:rsidR="00625637" w:rsidRDefault="0087575E">
      <w:pPr>
        <w:spacing w:after="39" w:line="280" w:lineRule="auto"/>
        <w:ind w:left="1439" w:right="6353" w:firstLine="441"/>
      </w:pPr>
      <w:r>
        <w:rPr>
          <w:sz w:val="16"/>
        </w:rPr>
        <w:t xml:space="preserve">TERA MBWEREPY </w:t>
      </w:r>
      <w:proofErr w:type="spellStart"/>
      <w:r>
        <w:rPr>
          <w:sz w:val="16"/>
        </w:rPr>
        <w:t>ΙΡΟΤί•ΫνΑ</w:t>
      </w:r>
      <w:proofErr w:type="spellEnd"/>
      <w:r>
        <w:rPr>
          <w:sz w:val="16"/>
        </w:rPr>
        <w:t xml:space="preserve"> </w:t>
      </w:r>
      <w:proofErr w:type="gramStart"/>
      <w:r>
        <w:rPr>
          <w:sz w:val="16"/>
        </w:rPr>
        <w:t>Ο,ΙΝΟΚΟ</w:t>
      </w:r>
      <w:proofErr w:type="gramEnd"/>
      <w:r>
        <w:rPr>
          <w:sz w:val="16"/>
        </w:rPr>
        <w:t xml:space="preserve"> ςΑΜ2ΥΗΥΗΑ</w:t>
      </w:r>
    </w:p>
    <w:p w14:paraId="2BF3CF60" w14:textId="77777777" w:rsidR="00625637" w:rsidRDefault="0087575E">
      <w:pPr>
        <w:spacing w:after="157" w:line="259" w:lineRule="auto"/>
        <w:ind w:left="1420" w:right="163" w:firstLine="0"/>
        <w:jc w:val="left"/>
      </w:pPr>
      <w:proofErr w:type="spellStart"/>
      <w:r>
        <w:rPr>
          <w:sz w:val="10"/>
        </w:rPr>
        <w:t>TAPlCFA</w:t>
      </w:r>
      <w:proofErr w:type="spellEnd"/>
      <w:r>
        <w:rPr>
          <w:sz w:val="10"/>
        </w:rPr>
        <w:t xml:space="preserve"> ΑΤΥ νι2Ι-Ι REHE 0$lANGAREKO PORAVA</w:t>
      </w:r>
    </w:p>
    <w:p w14:paraId="43674D9F" w14:textId="77777777" w:rsidR="00625637" w:rsidRDefault="0087575E">
      <w:pPr>
        <w:tabs>
          <w:tab w:val="center" w:pos="1953"/>
          <w:tab w:val="center" w:pos="6247"/>
        </w:tabs>
        <w:spacing w:after="0" w:line="259" w:lineRule="auto"/>
        <w:ind w:left="0" w:firstLine="0"/>
        <w:jc w:val="left"/>
      </w:pPr>
      <w:r>
        <w:rPr>
          <w:noProof/>
        </w:rPr>
        <w:lastRenderedPageBreak/>
        <w:drawing>
          <wp:anchor distT="0" distB="0" distL="114300" distR="114300" simplePos="0" relativeHeight="251658240" behindDoc="0" locked="0" layoutInCell="1" allowOverlap="0" wp14:anchorId="4AC2BAF0" wp14:editId="2B8A699F">
            <wp:simplePos x="0" y="0"/>
            <wp:positionH relativeFrom="column">
              <wp:posOffset>4996704</wp:posOffset>
            </wp:positionH>
            <wp:positionV relativeFrom="paragraph">
              <wp:posOffset>-103345</wp:posOffset>
            </wp:positionV>
            <wp:extent cx="1005434" cy="505680"/>
            <wp:effectExtent l="0" t="0" r="0" b="0"/>
            <wp:wrapSquare wrapText="bothSides"/>
            <wp:docPr id="6833" name="Picture 6833"/>
            <wp:cNvGraphicFramePr/>
            <a:graphic xmlns:a="http://schemas.openxmlformats.org/drawingml/2006/main">
              <a:graphicData uri="http://schemas.openxmlformats.org/drawingml/2006/picture">
                <pic:pic xmlns:pic="http://schemas.openxmlformats.org/drawingml/2006/picture">
                  <pic:nvPicPr>
                    <pic:cNvPr id="6833" name="Picture 6833"/>
                    <pic:cNvPicPr/>
                  </pic:nvPicPr>
                  <pic:blipFill>
                    <a:blip r:embed="rId9"/>
                    <a:stretch>
                      <a:fillRect/>
                    </a:stretch>
                  </pic:blipFill>
                  <pic:spPr>
                    <a:xfrm>
                      <a:off x="0" y="0"/>
                      <a:ext cx="1005434" cy="505680"/>
                    </a:xfrm>
                    <a:prstGeom prst="rect">
                      <a:avLst/>
                    </a:prstGeom>
                  </pic:spPr>
                </pic:pic>
              </a:graphicData>
            </a:graphic>
          </wp:anchor>
        </w:drawing>
      </w:r>
      <w:r>
        <w:rPr>
          <w:noProof/>
        </w:rPr>
        <w:drawing>
          <wp:anchor distT="0" distB="0" distL="114300" distR="114300" simplePos="0" relativeHeight="251659264" behindDoc="0" locked="0" layoutInCell="1" allowOverlap="0" wp14:anchorId="7802C9D5" wp14:editId="1E05DEC0">
            <wp:simplePos x="0" y="0"/>
            <wp:positionH relativeFrom="column">
              <wp:posOffset>3296606</wp:posOffset>
            </wp:positionH>
            <wp:positionV relativeFrom="paragraph">
              <wp:posOffset>195187</wp:posOffset>
            </wp:positionV>
            <wp:extent cx="115777" cy="134036"/>
            <wp:effectExtent l="0" t="0" r="0" b="0"/>
            <wp:wrapSquare wrapText="bothSides"/>
            <wp:docPr id="6811" name="Picture 6811"/>
            <wp:cNvGraphicFramePr/>
            <a:graphic xmlns:a="http://schemas.openxmlformats.org/drawingml/2006/main">
              <a:graphicData uri="http://schemas.openxmlformats.org/drawingml/2006/picture">
                <pic:pic xmlns:pic="http://schemas.openxmlformats.org/drawingml/2006/picture">
                  <pic:nvPicPr>
                    <pic:cNvPr id="6811" name="Picture 6811"/>
                    <pic:cNvPicPr/>
                  </pic:nvPicPr>
                  <pic:blipFill>
                    <a:blip r:embed="rId10"/>
                    <a:stretch>
                      <a:fillRect/>
                    </a:stretch>
                  </pic:blipFill>
                  <pic:spPr>
                    <a:xfrm>
                      <a:off x="0" y="0"/>
                      <a:ext cx="115777" cy="134036"/>
                    </a:xfrm>
                    <a:prstGeom prst="rect">
                      <a:avLst/>
                    </a:prstGeom>
                  </pic:spPr>
                </pic:pic>
              </a:graphicData>
            </a:graphic>
          </wp:anchor>
        </w:drawing>
      </w:r>
      <w:r>
        <w:rPr>
          <w:sz w:val="14"/>
        </w:rPr>
        <w:tab/>
      </w:r>
      <w:proofErr w:type="spellStart"/>
      <w:r>
        <w:rPr>
          <w:sz w:val="14"/>
        </w:rPr>
        <w:t>SECRETARiA</w:t>
      </w:r>
      <w:proofErr w:type="spellEnd"/>
      <w:r>
        <w:rPr>
          <w:sz w:val="14"/>
        </w:rPr>
        <w:t xml:space="preserve"> 0E</w:t>
      </w:r>
      <w:r>
        <w:rPr>
          <w:sz w:val="14"/>
        </w:rPr>
        <w:tab/>
        <w:t>• GOBIERNO</w:t>
      </w:r>
    </w:p>
    <w:p w14:paraId="6D19ABFE" w14:textId="77777777" w:rsidR="00625637" w:rsidRDefault="0087575E">
      <w:pPr>
        <w:spacing w:after="0" w:line="259" w:lineRule="auto"/>
        <w:ind w:left="1430" w:right="163" w:firstLine="0"/>
        <w:jc w:val="left"/>
      </w:pPr>
      <w:r>
        <w:rPr>
          <w:sz w:val="22"/>
        </w:rPr>
        <w:t>PREVENCION LAVADONACIONAL</w:t>
      </w:r>
    </w:p>
    <w:p w14:paraId="0CE82A4F" w14:textId="77777777" w:rsidR="00625637" w:rsidRDefault="0087575E">
      <w:pPr>
        <w:spacing w:after="0" w:line="259" w:lineRule="auto"/>
        <w:ind w:left="1430" w:right="4241" w:firstLine="0"/>
        <w:jc w:val="left"/>
      </w:pPr>
      <w:r>
        <w:rPr>
          <w:sz w:val="20"/>
        </w:rPr>
        <w:t xml:space="preserve">DE </w:t>
      </w:r>
      <w:proofErr w:type="spellStart"/>
      <w:r>
        <w:rPr>
          <w:sz w:val="20"/>
        </w:rPr>
        <w:t>DlNERO</w:t>
      </w:r>
      <w:proofErr w:type="spellEnd"/>
      <w:r>
        <w:rPr>
          <w:sz w:val="20"/>
        </w:rPr>
        <w:t xml:space="preserve"> O </w:t>
      </w:r>
      <w:proofErr w:type="spellStart"/>
      <w:r>
        <w:rPr>
          <w:sz w:val="20"/>
        </w:rPr>
        <w:t>BlENES</w:t>
      </w:r>
      <w:proofErr w:type="spellEnd"/>
    </w:p>
    <w:p w14:paraId="41ABD611" w14:textId="77777777" w:rsidR="00625637" w:rsidRDefault="0087575E">
      <w:pPr>
        <w:spacing w:after="0" w:line="259" w:lineRule="auto"/>
        <w:ind w:left="1430" w:firstLine="0"/>
        <w:jc w:val="left"/>
      </w:pPr>
      <w:proofErr w:type="spellStart"/>
      <w:r>
        <w:rPr>
          <w:sz w:val="12"/>
        </w:rPr>
        <w:t>lJlF</w:t>
      </w:r>
      <w:proofErr w:type="spellEnd"/>
      <w:r>
        <w:rPr>
          <w:sz w:val="12"/>
        </w:rPr>
        <w:t xml:space="preserve"> - </w:t>
      </w:r>
      <w:proofErr w:type="gramStart"/>
      <w:r>
        <w:rPr>
          <w:sz w:val="12"/>
        </w:rPr>
        <w:t>ΙΙΝΙΙ)Α</w:t>
      </w:r>
      <w:proofErr w:type="gramEnd"/>
      <w:r>
        <w:rPr>
          <w:sz w:val="12"/>
        </w:rPr>
        <w:t xml:space="preserve">0 </w:t>
      </w:r>
      <w:proofErr w:type="spellStart"/>
      <w:r>
        <w:rPr>
          <w:sz w:val="12"/>
        </w:rPr>
        <w:t>lNTELlGENClA</w:t>
      </w:r>
      <w:proofErr w:type="spellEnd"/>
      <w:r>
        <w:rPr>
          <w:sz w:val="12"/>
        </w:rPr>
        <w:t xml:space="preserve"> </w:t>
      </w:r>
      <w:proofErr w:type="spellStart"/>
      <w:r>
        <w:rPr>
          <w:sz w:val="12"/>
        </w:rPr>
        <w:t>FlNANClERA</w:t>
      </w:r>
      <w:proofErr w:type="spellEnd"/>
    </w:p>
    <w:p w14:paraId="6B538628" w14:textId="77777777" w:rsidR="008B4D7E" w:rsidRDefault="008B4D7E">
      <w:pPr>
        <w:pStyle w:val="Ttulo1"/>
        <w:ind w:left="24"/>
      </w:pPr>
    </w:p>
    <w:sdt>
      <w:sdtPr>
        <w:rPr>
          <w:rFonts w:ascii="Times New Roman" w:eastAsia="Times New Roman" w:hAnsi="Times New Roman" w:cs="Times New Roman"/>
          <w:color w:val="000000"/>
          <w:sz w:val="26"/>
          <w:szCs w:val="22"/>
          <w:lang w:val="es-ES"/>
        </w:rPr>
        <w:id w:val="-1231769047"/>
        <w:docPartObj>
          <w:docPartGallery w:val="Table of Contents"/>
          <w:docPartUnique/>
        </w:docPartObj>
      </w:sdtPr>
      <w:sdtEndPr>
        <w:rPr>
          <w:b/>
          <w:bCs/>
        </w:rPr>
      </w:sdtEndPr>
      <w:sdtContent>
        <w:p w14:paraId="63CDBF82" w14:textId="5640F00F" w:rsidR="008B4D7E" w:rsidRDefault="008B4D7E">
          <w:pPr>
            <w:pStyle w:val="TtuloTDC"/>
          </w:pPr>
          <w:r>
            <w:rPr>
              <w:lang w:val="es-ES"/>
            </w:rPr>
            <w:t>Contenido</w:t>
          </w:r>
        </w:p>
        <w:p w14:paraId="0838EFC1" w14:textId="3153FA07" w:rsidR="008B4D7E" w:rsidRDefault="008B4D7E">
          <w:pPr>
            <w:pStyle w:val="TDC1"/>
            <w:tabs>
              <w:tab w:val="right" w:leader="dot" w:pos="9605"/>
            </w:tabs>
            <w:rPr>
              <w:noProof/>
            </w:rPr>
          </w:pPr>
          <w:r>
            <w:fldChar w:fldCharType="begin"/>
          </w:r>
          <w:r>
            <w:instrText xml:space="preserve"> TOC \o "1-3" \h \z \u </w:instrText>
          </w:r>
          <w:r>
            <w:fldChar w:fldCharType="separate"/>
          </w:r>
          <w:hyperlink w:anchor="_Toc182224863" w:history="1">
            <w:r w:rsidRPr="009A15AB">
              <w:rPr>
                <w:rStyle w:val="Hipervnculo"/>
                <w:noProof/>
              </w:rPr>
              <w:t>ABREVIATURAS</w:t>
            </w:r>
            <w:r>
              <w:rPr>
                <w:noProof/>
                <w:webHidden/>
              </w:rPr>
              <w:tab/>
            </w:r>
            <w:r>
              <w:rPr>
                <w:noProof/>
                <w:webHidden/>
              </w:rPr>
              <w:fldChar w:fldCharType="begin"/>
            </w:r>
            <w:r>
              <w:rPr>
                <w:noProof/>
                <w:webHidden/>
              </w:rPr>
              <w:instrText xml:space="preserve"> PAGEREF _Toc182224863 \h </w:instrText>
            </w:r>
            <w:r>
              <w:rPr>
                <w:noProof/>
                <w:webHidden/>
              </w:rPr>
            </w:r>
            <w:r>
              <w:rPr>
                <w:noProof/>
                <w:webHidden/>
              </w:rPr>
              <w:fldChar w:fldCharType="separate"/>
            </w:r>
            <w:r>
              <w:rPr>
                <w:noProof/>
                <w:webHidden/>
              </w:rPr>
              <w:t>2</w:t>
            </w:r>
            <w:r>
              <w:rPr>
                <w:noProof/>
                <w:webHidden/>
              </w:rPr>
              <w:fldChar w:fldCharType="end"/>
            </w:r>
          </w:hyperlink>
        </w:p>
        <w:p w14:paraId="0B528134" w14:textId="44A3FF12" w:rsidR="008B4D7E" w:rsidRDefault="008A7158">
          <w:pPr>
            <w:pStyle w:val="TDC1"/>
            <w:tabs>
              <w:tab w:val="right" w:leader="dot" w:pos="9605"/>
            </w:tabs>
            <w:rPr>
              <w:noProof/>
            </w:rPr>
          </w:pPr>
          <w:hyperlink w:anchor="_Toc182224864" w:history="1">
            <w:r w:rsidR="008B4D7E" w:rsidRPr="009A15AB">
              <w:rPr>
                <w:rStyle w:val="Hipervnculo"/>
                <w:noProof/>
              </w:rPr>
              <w:t>INTRODUCCIÓN</w:t>
            </w:r>
            <w:r w:rsidR="008B4D7E">
              <w:rPr>
                <w:noProof/>
                <w:webHidden/>
              </w:rPr>
              <w:tab/>
            </w:r>
            <w:r w:rsidR="008B4D7E">
              <w:rPr>
                <w:noProof/>
                <w:webHidden/>
              </w:rPr>
              <w:fldChar w:fldCharType="begin"/>
            </w:r>
            <w:r w:rsidR="008B4D7E">
              <w:rPr>
                <w:noProof/>
                <w:webHidden/>
              </w:rPr>
              <w:instrText xml:space="preserve"> PAGEREF _Toc182224864 \h </w:instrText>
            </w:r>
            <w:r w:rsidR="008B4D7E">
              <w:rPr>
                <w:noProof/>
                <w:webHidden/>
              </w:rPr>
            </w:r>
            <w:r w:rsidR="008B4D7E">
              <w:rPr>
                <w:noProof/>
                <w:webHidden/>
              </w:rPr>
              <w:fldChar w:fldCharType="separate"/>
            </w:r>
            <w:r w:rsidR="008B4D7E">
              <w:rPr>
                <w:noProof/>
                <w:webHidden/>
              </w:rPr>
              <w:t>2</w:t>
            </w:r>
            <w:r w:rsidR="008B4D7E">
              <w:rPr>
                <w:noProof/>
                <w:webHidden/>
              </w:rPr>
              <w:fldChar w:fldCharType="end"/>
            </w:r>
          </w:hyperlink>
        </w:p>
        <w:p w14:paraId="7733634E" w14:textId="23A1C89C" w:rsidR="008B4D7E" w:rsidRDefault="008A7158">
          <w:pPr>
            <w:pStyle w:val="TDC2"/>
            <w:tabs>
              <w:tab w:val="right" w:leader="dot" w:pos="9605"/>
            </w:tabs>
            <w:rPr>
              <w:noProof/>
            </w:rPr>
          </w:pPr>
          <w:hyperlink w:anchor="_Toc182224865" w:history="1">
            <w:r w:rsidR="008B4D7E" w:rsidRPr="009A15AB">
              <w:rPr>
                <w:rStyle w:val="Hipervnculo"/>
                <w:noProof/>
              </w:rPr>
              <w:t>1. AUTOEVALUACIÓN DE RIESGOS</w:t>
            </w:r>
            <w:r w:rsidR="008B4D7E">
              <w:rPr>
                <w:noProof/>
                <w:webHidden/>
              </w:rPr>
              <w:tab/>
            </w:r>
            <w:r w:rsidR="008B4D7E">
              <w:rPr>
                <w:noProof/>
                <w:webHidden/>
              </w:rPr>
              <w:fldChar w:fldCharType="begin"/>
            </w:r>
            <w:r w:rsidR="008B4D7E">
              <w:rPr>
                <w:noProof/>
                <w:webHidden/>
              </w:rPr>
              <w:instrText xml:space="preserve"> PAGEREF _Toc182224865 \h </w:instrText>
            </w:r>
            <w:r w:rsidR="008B4D7E">
              <w:rPr>
                <w:noProof/>
                <w:webHidden/>
              </w:rPr>
            </w:r>
            <w:r w:rsidR="008B4D7E">
              <w:rPr>
                <w:noProof/>
                <w:webHidden/>
              </w:rPr>
              <w:fldChar w:fldCharType="separate"/>
            </w:r>
            <w:r w:rsidR="008B4D7E">
              <w:rPr>
                <w:noProof/>
                <w:webHidden/>
              </w:rPr>
              <w:t>3</w:t>
            </w:r>
            <w:r w:rsidR="008B4D7E">
              <w:rPr>
                <w:noProof/>
                <w:webHidden/>
              </w:rPr>
              <w:fldChar w:fldCharType="end"/>
            </w:r>
          </w:hyperlink>
        </w:p>
        <w:p w14:paraId="0975A91E" w14:textId="5D8489FD" w:rsidR="008B4D7E" w:rsidRDefault="008A7158">
          <w:pPr>
            <w:pStyle w:val="TDC3"/>
            <w:tabs>
              <w:tab w:val="right" w:leader="dot" w:pos="9605"/>
            </w:tabs>
            <w:rPr>
              <w:noProof/>
            </w:rPr>
          </w:pPr>
          <w:hyperlink w:anchor="_Toc182224866" w:history="1">
            <w:r w:rsidR="008B4D7E" w:rsidRPr="009A15AB">
              <w:rPr>
                <w:rStyle w:val="Hipervnculo"/>
                <w:noProof/>
              </w:rPr>
              <w:t>1.2. Metodología de Evaluación</w:t>
            </w:r>
            <w:r w:rsidR="008B4D7E">
              <w:rPr>
                <w:noProof/>
                <w:webHidden/>
              </w:rPr>
              <w:tab/>
            </w:r>
            <w:r w:rsidR="008B4D7E">
              <w:rPr>
                <w:noProof/>
                <w:webHidden/>
              </w:rPr>
              <w:fldChar w:fldCharType="begin"/>
            </w:r>
            <w:r w:rsidR="008B4D7E">
              <w:rPr>
                <w:noProof/>
                <w:webHidden/>
              </w:rPr>
              <w:instrText xml:space="preserve"> PAGEREF _Toc182224866 \h </w:instrText>
            </w:r>
            <w:r w:rsidR="008B4D7E">
              <w:rPr>
                <w:noProof/>
                <w:webHidden/>
              </w:rPr>
            </w:r>
            <w:r w:rsidR="008B4D7E">
              <w:rPr>
                <w:noProof/>
                <w:webHidden/>
              </w:rPr>
              <w:fldChar w:fldCharType="separate"/>
            </w:r>
            <w:r w:rsidR="008B4D7E">
              <w:rPr>
                <w:noProof/>
                <w:webHidden/>
              </w:rPr>
              <w:t>4</w:t>
            </w:r>
            <w:r w:rsidR="008B4D7E">
              <w:rPr>
                <w:noProof/>
                <w:webHidden/>
              </w:rPr>
              <w:fldChar w:fldCharType="end"/>
            </w:r>
          </w:hyperlink>
        </w:p>
        <w:p w14:paraId="01E58818" w14:textId="25499DA2" w:rsidR="008B4D7E" w:rsidRDefault="008A7158">
          <w:pPr>
            <w:pStyle w:val="TDC2"/>
            <w:tabs>
              <w:tab w:val="right" w:leader="dot" w:pos="9605"/>
            </w:tabs>
            <w:rPr>
              <w:noProof/>
            </w:rPr>
          </w:pPr>
          <w:hyperlink w:anchor="_Toc182224867" w:history="1">
            <w:r w:rsidR="008B4D7E" w:rsidRPr="009A15AB">
              <w:rPr>
                <w:rStyle w:val="Hipervnculo"/>
                <w:noProof/>
              </w:rPr>
              <w:t>2. SISTEMA DE CONTROL Y ADMINISTRACIÓN DE RIESGOS</w:t>
            </w:r>
            <w:r w:rsidR="008B4D7E">
              <w:rPr>
                <w:noProof/>
                <w:webHidden/>
              </w:rPr>
              <w:tab/>
            </w:r>
            <w:r w:rsidR="008B4D7E">
              <w:rPr>
                <w:noProof/>
                <w:webHidden/>
              </w:rPr>
              <w:fldChar w:fldCharType="begin"/>
            </w:r>
            <w:r w:rsidR="008B4D7E">
              <w:rPr>
                <w:noProof/>
                <w:webHidden/>
              </w:rPr>
              <w:instrText xml:space="preserve"> PAGEREF _Toc182224867 \h </w:instrText>
            </w:r>
            <w:r w:rsidR="008B4D7E">
              <w:rPr>
                <w:noProof/>
                <w:webHidden/>
              </w:rPr>
            </w:r>
            <w:r w:rsidR="008B4D7E">
              <w:rPr>
                <w:noProof/>
                <w:webHidden/>
              </w:rPr>
              <w:fldChar w:fldCharType="separate"/>
            </w:r>
            <w:r w:rsidR="008B4D7E">
              <w:rPr>
                <w:noProof/>
                <w:webHidden/>
              </w:rPr>
              <w:t>12</w:t>
            </w:r>
            <w:r w:rsidR="008B4D7E">
              <w:rPr>
                <w:noProof/>
                <w:webHidden/>
              </w:rPr>
              <w:fldChar w:fldCharType="end"/>
            </w:r>
          </w:hyperlink>
        </w:p>
        <w:p w14:paraId="5DA2A9EE" w14:textId="282E9274" w:rsidR="008B4D7E" w:rsidRDefault="008A7158">
          <w:pPr>
            <w:pStyle w:val="TDC3"/>
            <w:tabs>
              <w:tab w:val="right" w:leader="dot" w:pos="9605"/>
            </w:tabs>
            <w:rPr>
              <w:noProof/>
            </w:rPr>
          </w:pPr>
          <w:hyperlink w:anchor="_Toc182224868" w:history="1">
            <w:r w:rsidR="008B4D7E" w:rsidRPr="009A15AB">
              <w:rPr>
                <w:rStyle w:val="Hipervnculo"/>
                <w:noProof/>
              </w:rPr>
              <w:t>3.1. Medidas de DDC aplicables a todos los clientes</w:t>
            </w:r>
            <w:r w:rsidR="008B4D7E">
              <w:rPr>
                <w:noProof/>
                <w:webHidden/>
              </w:rPr>
              <w:tab/>
            </w:r>
            <w:r w:rsidR="008B4D7E">
              <w:rPr>
                <w:noProof/>
                <w:webHidden/>
              </w:rPr>
              <w:fldChar w:fldCharType="begin"/>
            </w:r>
            <w:r w:rsidR="008B4D7E">
              <w:rPr>
                <w:noProof/>
                <w:webHidden/>
              </w:rPr>
              <w:instrText xml:space="preserve"> PAGEREF _Toc182224868 \h </w:instrText>
            </w:r>
            <w:r w:rsidR="008B4D7E">
              <w:rPr>
                <w:noProof/>
                <w:webHidden/>
              </w:rPr>
            </w:r>
            <w:r w:rsidR="008B4D7E">
              <w:rPr>
                <w:noProof/>
                <w:webHidden/>
              </w:rPr>
              <w:fldChar w:fldCharType="separate"/>
            </w:r>
            <w:r w:rsidR="008B4D7E">
              <w:rPr>
                <w:noProof/>
                <w:webHidden/>
              </w:rPr>
              <w:t>14</w:t>
            </w:r>
            <w:r w:rsidR="008B4D7E">
              <w:rPr>
                <w:noProof/>
                <w:webHidden/>
              </w:rPr>
              <w:fldChar w:fldCharType="end"/>
            </w:r>
          </w:hyperlink>
        </w:p>
        <w:p w14:paraId="445DE58E" w14:textId="10A5A538" w:rsidR="008B4D7E" w:rsidRDefault="008A7158">
          <w:pPr>
            <w:pStyle w:val="TDC2"/>
            <w:tabs>
              <w:tab w:val="right" w:leader="dot" w:pos="9605"/>
            </w:tabs>
            <w:rPr>
              <w:noProof/>
            </w:rPr>
          </w:pPr>
          <w:hyperlink w:anchor="_Toc182224869" w:history="1">
            <w:r w:rsidR="008B4D7E" w:rsidRPr="009A15AB">
              <w:rPr>
                <w:rStyle w:val="Hipervnculo"/>
                <w:noProof/>
              </w:rPr>
              <w:t>5. DEPENDENCIA EN TERCEROS</w:t>
            </w:r>
            <w:r w:rsidR="008B4D7E">
              <w:rPr>
                <w:noProof/>
                <w:webHidden/>
              </w:rPr>
              <w:tab/>
            </w:r>
            <w:r w:rsidR="008B4D7E">
              <w:rPr>
                <w:noProof/>
                <w:webHidden/>
              </w:rPr>
              <w:fldChar w:fldCharType="begin"/>
            </w:r>
            <w:r w:rsidR="008B4D7E">
              <w:rPr>
                <w:noProof/>
                <w:webHidden/>
              </w:rPr>
              <w:instrText xml:space="preserve"> PAGEREF _Toc182224869 \h </w:instrText>
            </w:r>
            <w:r w:rsidR="008B4D7E">
              <w:rPr>
                <w:noProof/>
                <w:webHidden/>
              </w:rPr>
            </w:r>
            <w:r w:rsidR="008B4D7E">
              <w:rPr>
                <w:noProof/>
                <w:webHidden/>
              </w:rPr>
              <w:fldChar w:fldCharType="separate"/>
            </w:r>
            <w:r w:rsidR="008B4D7E">
              <w:rPr>
                <w:noProof/>
                <w:webHidden/>
              </w:rPr>
              <w:t>19</w:t>
            </w:r>
            <w:r w:rsidR="008B4D7E">
              <w:rPr>
                <w:noProof/>
                <w:webHidden/>
              </w:rPr>
              <w:fldChar w:fldCharType="end"/>
            </w:r>
          </w:hyperlink>
        </w:p>
        <w:p w14:paraId="613C5E1D" w14:textId="1CBDBFFA" w:rsidR="008B4D7E" w:rsidRDefault="008A7158">
          <w:pPr>
            <w:pStyle w:val="TDC2"/>
            <w:tabs>
              <w:tab w:val="right" w:leader="dot" w:pos="9605"/>
            </w:tabs>
            <w:rPr>
              <w:noProof/>
            </w:rPr>
          </w:pPr>
          <w:hyperlink w:anchor="_Toc182224870" w:history="1">
            <w:r w:rsidR="008B4D7E" w:rsidRPr="009A15AB">
              <w:rPr>
                <w:rStyle w:val="Hipervnculo"/>
                <w:noProof/>
              </w:rPr>
              <w:t>6. RELACIONES DE CORRESPONSALíA</w:t>
            </w:r>
            <w:r w:rsidR="008B4D7E">
              <w:rPr>
                <w:noProof/>
                <w:webHidden/>
              </w:rPr>
              <w:tab/>
            </w:r>
            <w:r w:rsidR="008B4D7E">
              <w:rPr>
                <w:noProof/>
                <w:webHidden/>
              </w:rPr>
              <w:fldChar w:fldCharType="begin"/>
            </w:r>
            <w:r w:rsidR="008B4D7E">
              <w:rPr>
                <w:noProof/>
                <w:webHidden/>
              </w:rPr>
              <w:instrText xml:space="preserve"> PAGEREF _Toc182224870 \h </w:instrText>
            </w:r>
            <w:r w:rsidR="008B4D7E">
              <w:rPr>
                <w:noProof/>
                <w:webHidden/>
              </w:rPr>
            </w:r>
            <w:r w:rsidR="008B4D7E">
              <w:rPr>
                <w:noProof/>
                <w:webHidden/>
              </w:rPr>
              <w:fldChar w:fldCharType="separate"/>
            </w:r>
            <w:r w:rsidR="008B4D7E">
              <w:rPr>
                <w:noProof/>
                <w:webHidden/>
              </w:rPr>
              <w:t>20</w:t>
            </w:r>
            <w:r w:rsidR="008B4D7E">
              <w:rPr>
                <w:noProof/>
                <w:webHidden/>
              </w:rPr>
              <w:fldChar w:fldCharType="end"/>
            </w:r>
          </w:hyperlink>
        </w:p>
        <w:p w14:paraId="63F35D18" w14:textId="20E6DD06" w:rsidR="008B4D7E" w:rsidRDefault="008A7158">
          <w:pPr>
            <w:pStyle w:val="TDC3"/>
            <w:tabs>
              <w:tab w:val="right" w:leader="dot" w:pos="9605"/>
            </w:tabs>
            <w:rPr>
              <w:noProof/>
            </w:rPr>
          </w:pPr>
          <w:hyperlink w:anchor="_Toc182224871" w:history="1">
            <w:r w:rsidR="008B4D7E" w:rsidRPr="009A15AB">
              <w:rPr>
                <w:rStyle w:val="Hipervnculo"/>
                <w:noProof/>
              </w:rPr>
              <w:t>7. REPORTES DE OPERACIONES SOSPECHOSAS</w:t>
            </w:r>
            <w:r w:rsidR="008B4D7E">
              <w:rPr>
                <w:noProof/>
                <w:webHidden/>
              </w:rPr>
              <w:tab/>
            </w:r>
            <w:r w:rsidR="008B4D7E">
              <w:rPr>
                <w:noProof/>
                <w:webHidden/>
              </w:rPr>
              <w:fldChar w:fldCharType="begin"/>
            </w:r>
            <w:r w:rsidR="008B4D7E">
              <w:rPr>
                <w:noProof/>
                <w:webHidden/>
              </w:rPr>
              <w:instrText xml:space="preserve"> PAGEREF _Toc182224871 \h </w:instrText>
            </w:r>
            <w:r w:rsidR="008B4D7E">
              <w:rPr>
                <w:noProof/>
                <w:webHidden/>
              </w:rPr>
            </w:r>
            <w:r w:rsidR="008B4D7E">
              <w:rPr>
                <w:noProof/>
                <w:webHidden/>
              </w:rPr>
              <w:fldChar w:fldCharType="separate"/>
            </w:r>
            <w:r w:rsidR="008B4D7E">
              <w:rPr>
                <w:noProof/>
                <w:webHidden/>
              </w:rPr>
              <w:t>21</w:t>
            </w:r>
            <w:r w:rsidR="008B4D7E">
              <w:rPr>
                <w:noProof/>
                <w:webHidden/>
              </w:rPr>
              <w:fldChar w:fldCharType="end"/>
            </w:r>
          </w:hyperlink>
        </w:p>
        <w:p w14:paraId="0A474467" w14:textId="164563C6" w:rsidR="008B4D7E" w:rsidRDefault="008A7158">
          <w:pPr>
            <w:pStyle w:val="TDC2"/>
            <w:tabs>
              <w:tab w:val="right" w:leader="dot" w:pos="9605"/>
            </w:tabs>
            <w:rPr>
              <w:noProof/>
            </w:rPr>
          </w:pPr>
          <w:hyperlink w:anchor="_Toc182224872" w:history="1">
            <w:r w:rsidR="008B4D7E" w:rsidRPr="009A15AB">
              <w:rPr>
                <w:rStyle w:val="Hipervnculo"/>
                <w:noProof/>
              </w:rPr>
              <w:t>8. PAUTAS FINALES</w:t>
            </w:r>
            <w:r w:rsidR="008B4D7E">
              <w:rPr>
                <w:noProof/>
                <w:webHidden/>
              </w:rPr>
              <w:tab/>
            </w:r>
            <w:r w:rsidR="008B4D7E">
              <w:rPr>
                <w:noProof/>
                <w:webHidden/>
              </w:rPr>
              <w:fldChar w:fldCharType="begin"/>
            </w:r>
            <w:r w:rsidR="008B4D7E">
              <w:rPr>
                <w:noProof/>
                <w:webHidden/>
              </w:rPr>
              <w:instrText xml:space="preserve"> PAGEREF _Toc182224872 \h </w:instrText>
            </w:r>
            <w:r w:rsidR="008B4D7E">
              <w:rPr>
                <w:noProof/>
                <w:webHidden/>
              </w:rPr>
            </w:r>
            <w:r w:rsidR="008B4D7E">
              <w:rPr>
                <w:noProof/>
                <w:webHidden/>
              </w:rPr>
              <w:fldChar w:fldCharType="separate"/>
            </w:r>
            <w:r w:rsidR="008B4D7E">
              <w:rPr>
                <w:noProof/>
                <w:webHidden/>
              </w:rPr>
              <w:t>21</w:t>
            </w:r>
            <w:r w:rsidR="008B4D7E">
              <w:rPr>
                <w:noProof/>
                <w:webHidden/>
              </w:rPr>
              <w:fldChar w:fldCharType="end"/>
            </w:r>
          </w:hyperlink>
        </w:p>
        <w:p w14:paraId="6738CB8B" w14:textId="7F115042" w:rsidR="008B4D7E" w:rsidRDefault="008B4D7E">
          <w:r>
            <w:rPr>
              <w:b/>
              <w:bCs/>
              <w:lang w:val="es-ES"/>
            </w:rPr>
            <w:fldChar w:fldCharType="end"/>
          </w:r>
        </w:p>
      </w:sdtContent>
    </w:sdt>
    <w:p w14:paraId="2B11BC60" w14:textId="1FDAB5A9" w:rsidR="008B4D7E" w:rsidRDefault="008B4D7E" w:rsidP="008B4D7E"/>
    <w:p w14:paraId="2477D55C" w14:textId="2440F068" w:rsidR="00672354" w:rsidRDefault="00672354" w:rsidP="008B4D7E"/>
    <w:p w14:paraId="6A539248" w14:textId="7780CD9C" w:rsidR="00672354" w:rsidRDefault="00672354" w:rsidP="008B4D7E"/>
    <w:p w14:paraId="235CD8D4" w14:textId="64EE8406" w:rsidR="00672354" w:rsidRDefault="00672354" w:rsidP="008B4D7E"/>
    <w:p w14:paraId="2D4BD79C" w14:textId="18037804" w:rsidR="00672354" w:rsidRDefault="00672354" w:rsidP="008B4D7E"/>
    <w:p w14:paraId="581FE60D" w14:textId="0349574B" w:rsidR="00672354" w:rsidRDefault="00672354" w:rsidP="008B4D7E"/>
    <w:p w14:paraId="2FA6959D" w14:textId="6DDD5146" w:rsidR="00672354" w:rsidRDefault="00672354" w:rsidP="008B4D7E"/>
    <w:p w14:paraId="5E83D8F3" w14:textId="1D81DACF" w:rsidR="00672354" w:rsidRDefault="00672354" w:rsidP="008B4D7E"/>
    <w:p w14:paraId="19B3E715" w14:textId="504FEF3F" w:rsidR="00672354" w:rsidRDefault="00672354" w:rsidP="008B4D7E"/>
    <w:p w14:paraId="259A1F3A" w14:textId="73AD6449" w:rsidR="00672354" w:rsidRDefault="00672354" w:rsidP="008B4D7E"/>
    <w:p w14:paraId="5DED3CEE" w14:textId="7140F02A" w:rsidR="00672354" w:rsidRDefault="00672354" w:rsidP="008B4D7E"/>
    <w:p w14:paraId="634A6A4D" w14:textId="2AA0EA41" w:rsidR="00672354" w:rsidRDefault="00672354" w:rsidP="008B4D7E"/>
    <w:p w14:paraId="7A478CF0" w14:textId="6D4C68DF" w:rsidR="00672354" w:rsidRDefault="00672354" w:rsidP="008B4D7E"/>
    <w:p w14:paraId="27602DAC" w14:textId="079D6E90" w:rsidR="00672354" w:rsidRDefault="00672354" w:rsidP="008B4D7E"/>
    <w:p w14:paraId="3DA74E7F" w14:textId="77AF1DC2" w:rsidR="00672354" w:rsidRDefault="00672354" w:rsidP="008B4D7E"/>
    <w:p w14:paraId="1415A1E7" w14:textId="77777777" w:rsidR="00672354" w:rsidRDefault="00672354" w:rsidP="008B4D7E"/>
    <w:p w14:paraId="4B13EC5F" w14:textId="77777777" w:rsidR="00672354" w:rsidRDefault="0087575E" w:rsidP="00672354">
      <w:pPr>
        <w:pStyle w:val="Ttulo1"/>
        <w:spacing w:after="0"/>
        <w:ind w:left="24"/>
      </w:pPr>
      <w:bookmarkStart w:id="0" w:name="_Toc182224863"/>
      <w:r>
        <w:lastRenderedPageBreak/>
        <w:t>ABREVIATURAS</w:t>
      </w:r>
      <w:bookmarkEnd w:id="0"/>
    </w:p>
    <w:p w14:paraId="107F76ED" w14:textId="1D83244A" w:rsidR="00625637" w:rsidRPr="00672354" w:rsidRDefault="0087575E" w:rsidP="00672354">
      <w:pPr>
        <w:pStyle w:val="Ttulo1"/>
        <w:spacing w:after="0"/>
        <w:ind w:left="24"/>
        <w:rPr>
          <w:sz w:val="28"/>
        </w:rPr>
      </w:pPr>
      <w:r w:rsidRPr="00672354">
        <w:rPr>
          <w:sz w:val="28"/>
        </w:rPr>
        <w:t>Beneficiario Final</w:t>
      </w:r>
    </w:p>
    <w:p w14:paraId="05021906" w14:textId="77777777" w:rsidR="00625637" w:rsidRDefault="0087575E" w:rsidP="00672354">
      <w:pPr>
        <w:tabs>
          <w:tab w:val="center" w:pos="4419"/>
        </w:tabs>
        <w:spacing w:after="0" w:line="259" w:lineRule="auto"/>
        <w:ind w:left="0" w:firstLine="0"/>
        <w:jc w:val="left"/>
      </w:pPr>
      <w:r>
        <w:rPr>
          <w:sz w:val="28"/>
        </w:rPr>
        <w:t>DDC</w:t>
      </w:r>
      <w:r>
        <w:rPr>
          <w:sz w:val="28"/>
        </w:rPr>
        <w:tab/>
        <w:t>Debida Diligencia del Cliente</w:t>
      </w:r>
    </w:p>
    <w:p w14:paraId="3C86BFA1" w14:textId="77777777" w:rsidR="00625637" w:rsidRDefault="0087575E" w:rsidP="00672354">
      <w:pPr>
        <w:tabs>
          <w:tab w:val="center" w:pos="4405"/>
        </w:tabs>
        <w:spacing w:after="0" w:line="259" w:lineRule="auto"/>
        <w:ind w:left="0" w:firstLine="0"/>
        <w:jc w:val="left"/>
      </w:pPr>
      <w:r>
        <w:rPr>
          <w:sz w:val="28"/>
        </w:rPr>
        <w:t>EBR</w:t>
      </w:r>
      <w:r>
        <w:rPr>
          <w:sz w:val="28"/>
        </w:rPr>
        <w:tab/>
        <w:t>Enfoque Basado en Riesgos</w:t>
      </w:r>
    </w:p>
    <w:p w14:paraId="1872476A" w14:textId="77777777" w:rsidR="00625637" w:rsidRDefault="0087575E" w:rsidP="00672354">
      <w:pPr>
        <w:tabs>
          <w:tab w:val="center" w:pos="4606"/>
        </w:tabs>
        <w:spacing w:after="0" w:line="259" w:lineRule="auto"/>
        <w:ind w:left="0" w:firstLine="0"/>
        <w:jc w:val="left"/>
      </w:pPr>
      <w:r>
        <w:rPr>
          <w:sz w:val="28"/>
        </w:rPr>
        <w:t>ENR</w:t>
      </w:r>
      <w:r>
        <w:rPr>
          <w:sz w:val="28"/>
        </w:rPr>
        <w:tab/>
        <w:t>Evaluación Nacional de Riesgos</w:t>
      </w:r>
    </w:p>
    <w:p w14:paraId="732A670D" w14:textId="2D12B3F9" w:rsidR="00625637" w:rsidRDefault="0087575E" w:rsidP="00672354">
      <w:pPr>
        <w:tabs>
          <w:tab w:val="center" w:pos="4505"/>
        </w:tabs>
        <w:spacing w:after="0" w:line="259" w:lineRule="auto"/>
        <w:ind w:left="0" w:firstLine="0"/>
        <w:jc w:val="left"/>
      </w:pPr>
      <w:r>
        <w:t>FT</w:t>
      </w:r>
      <w:r w:rsidR="008F4B22">
        <w:tab/>
      </w:r>
      <w:r>
        <w:t>Financiamiento del Terrorismo</w:t>
      </w:r>
    </w:p>
    <w:p w14:paraId="3CC04ABE" w14:textId="0FF025A0" w:rsidR="00625637" w:rsidRDefault="0087575E" w:rsidP="00672354">
      <w:pPr>
        <w:tabs>
          <w:tab w:val="center" w:pos="5081"/>
        </w:tabs>
        <w:spacing w:after="0" w:line="259" w:lineRule="auto"/>
        <w:ind w:left="0" w:firstLine="0"/>
        <w:jc w:val="left"/>
      </w:pPr>
      <w:r>
        <w:rPr>
          <w:sz w:val="28"/>
        </w:rPr>
        <w:t>GAFI</w:t>
      </w:r>
      <w:r>
        <w:rPr>
          <w:sz w:val="28"/>
        </w:rPr>
        <w:tab/>
      </w:r>
      <w:r w:rsidR="008F4B22">
        <w:rPr>
          <w:sz w:val="28"/>
        </w:rPr>
        <w:t xml:space="preserve">   </w:t>
      </w:r>
      <w:r>
        <w:rPr>
          <w:sz w:val="28"/>
        </w:rPr>
        <w:t>Grupo de Acción Financiera Internacional</w:t>
      </w:r>
    </w:p>
    <w:p w14:paraId="38003FF4" w14:textId="214B1CC4" w:rsidR="00625637" w:rsidRDefault="0087575E" w:rsidP="00672354">
      <w:pPr>
        <w:spacing w:after="0" w:line="259" w:lineRule="auto"/>
        <w:ind w:left="2124" w:firstLine="708"/>
        <w:jc w:val="left"/>
      </w:pPr>
      <w:r>
        <w:rPr>
          <w:sz w:val="28"/>
        </w:rPr>
        <w:t>Lavado de Activos</w:t>
      </w:r>
    </w:p>
    <w:p w14:paraId="7CA240D0" w14:textId="77777777" w:rsidR="00625637" w:rsidRDefault="0087575E" w:rsidP="00672354">
      <w:pPr>
        <w:tabs>
          <w:tab w:val="center" w:pos="5604"/>
        </w:tabs>
        <w:spacing w:after="0" w:line="259" w:lineRule="auto"/>
        <w:ind w:left="0" w:firstLine="0"/>
        <w:jc w:val="left"/>
      </w:pPr>
      <w:r>
        <w:rPr>
          <w:sz w:val="28"/>
        </w:rPr>
        <w:t>LA/FT</w:t>
      </w:r>
      <w:r>
        <w:rPr>
          <w:sz w:val="28"/>
        </w:rPr>
        <w:tab/>
        <w:t>Lavado de Activos y Financiamiento del Terrorismo</w:t>
      </w:r>
    </w:p>
    <w:p w14:paraId="779D6F35" w14:textId="77777777" w:rsidR="00625637" w:rsidRDefault="0087575E" w:rsidP="00672354">
      <w:pPr>
        <w:tabs>
          <w:tab w:val="center" w:pos="4078"/>
        </w:tabs>
        <w:spacing w:after="0" w:line="259" w:lineRule="auto"/>
        <w:ind w:left="0" w:firstLine="0"/>
        <w:jc w:val="left"/>
      </w:pPr>
      <w:r>
        <w:rPr>
          <w:sz w:val="28"/>
        </w:rPr>
        <w:t>os</w:t>
      </w:r>
      <w:r>
        <w:rPr>
          <w:sz w:val="28"/>
        </w:rPr>
        <w:tab/>
        <w:t>Organismo Supervisor</w:t>
      </w:r>
    </w:p>
    <w:p w14:paraId="6DC04A00" w14:textId="5B1D7238" w:rsidR="00625637" w:rsidRDefault="008B4D7E">
      <w:pPr>
        <w:spacing w:after="160" w:line="259" w:lineRule="auto"/>
        <w:ind w:left="0" w:firstLine="0"/>
        <w:jc w:val="left"/>
      </w:pPr>
      <w:r>
        <w:rPr>
          <w:sz w:val="28"/>
        </w:rPr>
        <w:t xml:space="preserve"> </w:t>
      </w:r>
      <w:r>
        <w:rPr>
          <w:sz w:val="28"/>
        </w:rPr>
        <w:tab/>
      </w:r>
      <w:r>
        <w:rPr>
          <w:sz w:val="28"/>
        </w:rPr>
        <w:tab/>
      </w:r>
      <w:r>
        <w:rPr>
          <w:sz w:val="28"/>
        </w:rPr>
        <w:tab/>
      </w:r>
      <w:r>
        <w:rPr>
          <w:sz w:val="28"/>
        </w:rPr>
        <w:tab/>
      </w:r>
      <w:r w:rsidR="0087575E">
        <w:rPr>
          <w:sz w:val="28"/>
        </w:rPr>
        <w:t>Persona Expuesta Políticamente</w:t>
      </w:r>
    </w:p>
    <w:p w14:paraId="04E3C4AF" w14:textId="77777777" w:rsidR="00625637" w:rsidRDefault="0087575E">
      <w:pPr>
        <w:tabs>
          <w:tab w:val="center" w:pos="4942"/>
        </w:tabs>
        <w:spacing w:after="160" w:line="259" w:lineRule="auto"/>
        <w:ind w:left="0" w:firstLine="0"/>
        <w:jc w:val="left"/>
      </w:pPr>
      <w:r>
        <w:rPr>
          <w:sz w:val="28"/>
        </w:rPr>
        <w:t>ROS</w:t>
      </w:r>
      <w:r>
        <w:rPr>
          <w:sz w:val="28"/>
        </w:rPr>
        <w:tab/>
        <w:t>Reporte de Operaciones Sospechosas</w:t>
      </w:r>
    </w:p>
    <w:p w14:paraId="30FD2998" w14:textId="77777777" w:rsidR="00625637" w:rsidRDefault="0087575E">
      <w:pPr>
        <w:tabs>
          <w:tab w:val="center" w:pos="5863"/>
        </w:tabs>
        <w:spacing w:after="160" w:line="259" w:lineRule="auto"/>
        <w:ind w:left="0" w:firstLine="0"/>
        <w:jc w:val="left"/>
      </w:pPr>
      <w:r>
        <w:rPr>
          <w:sz w:val="28"/>
        </w:rPr>
        <w:t>SEPRELAD</w:t>
      </w:r>
      <w:r>
        <w:rPr>
          <w:sz w:val="28"/>
        </w:rPr>
        <w:tab/>
        <w:t>Secretaría de Prevención de Lavado de Dinero o Bienes</w:t>
      </w:r>
    </w:p>
    <w:p w14:paraId="7B3172A6" w14:textId="77777777" w:rsidR="00625637" w:rsidRDefault="0087575E">
      <w:pPr>
        <w:tabs>
          <w:tab w:val="center" w:pos="3858"/>
        </w:tabs>
        <w:spacing w:after="160" w:line="259" w:lineRule="auto"/>
        <w:ind w:left="0" w:firstLine="0"/>
        <w:jc w:val="left"/>
      </w:pPr>
      <w:proofErr w:type="spellStart"/>
      <w:r>
        <w:rPr>
          <w:sz w:val="28"/>
        </w:rPr>
        <w:t>so</w:t>
      </w:r>
      <w:proofErr w:type="spellEnd"/>
      <w:r>
        <w:rPr>
          <w:sz w:val="28"/>
        </w:rPr>
        <w:tab/>
        <w:t>Sujetos Obligados</w:t>
      </w:r>
    </w:p>
    <w:p w14:paraId="3308409E" w14:textId="77777777" w:rsidR="00625637" w:rsidRDefault="0087575E">
      <w:pPr>
        <w:tabs>
          <w:tab w:val="center" w:pos="4664"/>
        </w:tabs>
        <w:spacing w:after="160" w:line="259" w:lineRule="auto"/>
        <w:ind w:left="0" w:firstLine="0"/>
        <w:jc w:val="left"/>
      </w:pPr>
      <w:r>
        <w:t>IJIF</w:t>
      </w:r>
      <w:r>
        <w:tab/>
        <w:t>Unidad de Inteligencia Financiera</w:t>
      </w:r>
    </w:p>
    <w:p w14:paraId="5EA3C00B" w14:textId="77777777" w:rsidR="00625637" w:rsidRDefault="0087575E">
      <w:pPr>
        <w:pStyle w:val="Ttulo1"/>
        <w:spacing w:after="0"/>
        <w:ind w:left="29" w:firstLine="0"/>
      </w:pPr>
      <w:bookmarkStart w:id="1" w:name="_Toc182224864"/>
      <w:r>
        <w:rPr>
          <w:sz w:val="58"/>
        </w:rPr>
        <w:t>INTRODUCCIÓN</w:t>
      </w:r>
      <w:bookmarkEnd w:id="1"/>
    </w:p>
    <w:p w14:paraId="4B0B4D3F" w14:textId="77777777" w:rsidR="00625637" w:rsidRDefault="0087575E">
      <w:pPr>
        <w:spacing w:after="0"/>
        <w:ind w:left="4" w:right="14"/>
      </w:pPr>
      <w:r>
        <w:t xml:space="preserve">La presente guía se encuentra basada en los estándares internacionales establecidos por el Grupo de Acción Financiera Internacional (GAFI), reconocidas estas como las 40 recomendaciones, sus notas interpretativas y los parámetros de la metodología de evaluación; y tiene por objeto orientar complementariamente a los Sujetos Obligados (SO) </w:t>
      </w:r>
      <w:r w:rsidRPr="00BB059A">
        <w:rPr>
          <w:highlight w:val="yellow"/>
        </w:rPr>
        <w:t>en la elaboración de los procesos dirigidos al desarrollo, adopción y ejecución de los métodos y sistemas que le permitan aplicar adecuadamente el Enfoque Basado en Riesgos (EBR), implementando las políticas pertinentes con el fin de identificarlo, medirlo y monitorearlo, dando cumplimiento a las disposiciones establecidas por la SEPRELAD.</w:t>
      </w:r>
      <w:r>
        <w:br w:type="page"/>
      </w:r>
    </w:p>
    <w:p w14:paraId="0B9F4F45" w14:textId="77777777" w:rsidR="00625637" w:rsidRDefault="0087575E">
      <w:pPr>
        <w:pStyle w:val="Ttulo2"/>
        <w:spacing w:after="99"/>
        <w:ind w:left="24"/>
      </w:pPr>
      <w:bookmarkStart w:id="2" w:name="_Toc182224865"/>
      <w:r>
        <w:lastRenderedPageBreak/>
        <w:t>1. AUTOEVALUACIÓN DE RIESGOS</w:t>
      </w:r>
      <w:bookmarkEnd w:id="2"/>
    </w:p>
    <w:p w14:paraId="79B0B453" w14:textId="77777777" w:rsidR="00625637" w:rsidRDefault="0087575E">
      <w:pPr>
        <w:spacing w:after="219"/>
        <w:ind w:left="4" w:right="14"/>
      </w:pPr>
      <w:r>
        <w:t>La implementación de una autoevaluación de riesgos permite identificar y medir su propia exposición, a efectos de corregir de manera oportuna las deficiencias de sus procedimientos.</w:t>
      </w:r>
    </w:p>
    <w:p w14:paraId="0B02BF14" w14:textId="77777777" w:rsidR="00625637" w:rsidRDefault="0087575E">
      <w:pPr>
        <w:spacing w:after="172"/>
        <w:ind w:left="4" w:right="14"/>
      </w:pPr>
      <w:r>
        <w:t>Conforme a la metodología y los procedimientos correspondientes, cada SO establecerá los procesos que se llevarán a cabo para la identificación, medición y mitigación de los riesgos a los que se encuentra expuesto, para lo cual deberá elaborar sus indicadores, en base a diversas fuentes de información, entre las que considerará la Evaluación Nacional de Riesgos (ENR) y sus actualizaciones, que la SEPRELAD (UIF) da a conocer por medio de su página web.</w:t>
      </w:r>
    </w:p>
    <w:p w14:paraId="03691D8A" w14:textId="77777777" w:rsidR="00625637" w:rsidRDefault="0087575E">
      <w:pPr>
        <w:spacing w:after="220"/>
        <w:ind w:left="4" w:right="14"/>
      </w:pPr>
      <w:r>
        <w:t>Al efecto, los SO deberán contar con políticas, controles y procedimientos, aprobados por su máxima autoridad, que les permitan manejar y mitigar los riesgos que han sido identificados.</w:t>
      </w:r>
    </w:p>
    <w:p w14:paraId="729EDE3E" w14:textId="77777777" w:rsidR="00625637" w:rsidRDefault="0087575E">
      <w:pPr>
        <w:ind w:left="4" w:right="14"/>
      </w:pPr>
      <w:r>
        <w:t xml:space="preserve">La implementación de tales políticas, controles y procedimientos deberá ser monitoreada de manera periódica, realizando las mejoras, cuando corresponda; y adoptar medidas intensificadas para gestionar y mitigar los riesgos, cuando las resultas evidencien exposición a </w:t>
      </w:r>
      <w:proofErr w:type="spellStart"/>
      <w:r>
        <w:t>nesgos</w:t>
      </w:r>
      <w:proofErr w:type="spellEnd"/>
      <w:r>
        <w:t xml:space="preserve"> mayores.</w:t>
      </w:r>
    </w:p>
    <w:p w14:paraId="53C0E9AE" w14:textId="77777777" w:rsidR="00625637" w:rsidRDefault="0087575E">
      <w:pPr>
        <w:spacing w:after="191"/>
        <w:ind w:left="4" w:right="14"/>
      </w:pPr>
      <w:r>
        <w:t>Los SO solo pueden adoptar medidas simplificadas para manejar y mitigar los riesgos cuando, de la culminación de las evaluaciones se han identificado riesgos menores, y bajo ningún supuesto se pueden implementar medidas simplificadas cuando haya sospecha de LA/FT.</w:t>
      </w:r>
    </w:p>
    <w:p w14:paraId="2AD1AD7A" w14:textId="77777777" w:rsidR="00625637" w:rsidRDefault="0087575E">
      <w:pPr>
        <w:spacing w:after="195" w:line="260" w:lineRule="auto"/>
        <w:ind w:left="14" w:right="14" w:firstLine="0"/>
      </w:pPr>
      <w:r>
        <w:rPr>
          <w:sz w:val="28"/>
        </w:rPr>
        <w:t>Es obligación de los SO documentar adecuadamente las evaluaciones de riesgos desarrolladas, siendo responsabilidad de cada Organismo Supervisor, asegurar el cumplimiento de las obligaciones relacionadas a la evaluación, verificación, actualización del riesgo por medio de la supervisión.</w:t>
      </w:r>
    </w:p>
    <w:p w14:paraId="48F8DF10" w14:textId="77777777" w:rsidR="00625637" w:rsidRDefault="0087575E" w:rsidP="00FF1ED1">
      <w:pPr>
        <w:spacing w:after="179" w:line="216" w:lineRule="auto"/>
        <w:ind w:left="39" w:right="43" w:hanging="10"/>
        <w:jc w:val="left"/>
      </w:pPr>
      <w:r>
        <w:rPr>
          <w:sz w:val="36"/>
        </w:rPr>
        <w:t>1 .1. Criterios mínimos de autoevaluación</w:t>
      </w:r>
    </w:p>
    <w:p w14:paraId="0E923611" w14:textId="77777777" w:rsidR="00625637" w:rsidRDefault="0087575E">
      <w:pPr>
        <w:spacing w:after="167"/>
        <w:ind w:left="4" w:right="14"/>
      </w:pPr>
      <w:r>
        <w:t>Si bien la norma encomienda que sean los SO quienes definan su proceso de autoevaluación, partiendo de la base de que no todos poseen el mismo nivel operativo, cantidad de clientes, perfiles, modelo de negocios, etc., existen ciertos criterios que deberían ser considerados como pauta básica y mínima para la adecuada identificación de los riesgos, entre los cuales se encuentran:</w:t>
      </w:r>
    </w:p>
    <w:p w14:paraId="1A30E812" w14:textId="77777777" w:rsidR="00625637" w:rsidRDefault="0087575E">
      <w:pPr>
        <w:numPr>
          <w:ilvl w:val="0"/>
          <w:numId w:val="4"/>
        </w:numPr>
        <w:spacing w:after="138" w:line="260" w:lineRule="auto"/>
        <w:ind w:left="730" w:right="14" w:hanging="365"/>
      </w:pPr>
      <w:r>
        <w:rPr>
          <w:sz w:val="28"/>
        </w:rPr>
        <w:t>Documentar sus evaluaciones de riesgo.</w:t>
      </w:r>
    </w:p>
    <w:p w14:paraId="6143AF5D" w14:textId="77777777" w:rsidR="00625637" w:rsidRDefault="0087575E">
      <w:pPr>
        <w:numPr>
          <w:ilvl w:val="0"/>
          <w:numId w:val="4"/>
        </w:numPr>
        <w:spacing w:after="90"/>
        <w:ind w:left="730" w:right="14" w:hanging="365"/>
      </w:pPr>
      <w:r>
        <w:t xml:space="preserve">Considerar todos los factores de riesgo </w:t>
      </w:r>
      <w:r>
        <w:rPr>
          <w:vertAlign w:val="superscript"/>
        </w:rPr>
        <w:t xml:space="preserve">l </w:t>
      </w:r>
      <w:r>
        <w:t>pertinentes de manera a determinar cuál es el nivel de riesgo general y los tipos apropiados de mitigación a aplicar.</w:t>
      </w:r>
    </w:p>
    <w:p w14:paraId="7CAB5ECB" w14:textId="77777777" w:rsidR="00625637" w:rsidRDefault="0087575E">
      <w:pPr>
        <w:numPr>
          <w:ilvl w:val="0"/>
          <w:numId w:val="4"/>
        </w:numPr>
        <w:spacing w:after="214" w:line="260" w:lineRule="auto"/>
        <w:ind w:left="730" w:right="14" w:hanging="365"/>
      </w:pPr>
      <w:r>
        <w:rPr>
          <w:sz w:val="28"/>
        </w:rPr>
        <w:t>Mantener actualizadas estas evaluaciones.</w:t>
      </w:r>
    </w:p>
    <w:p w14:paraId="5560940C" w14:textId="77777777" w:rsidR="00625637" w:rsidRDefault="0087575E">
      <w:pPr>
        <w:numPr>
          <w:ilvl w:val="0"/>
          <w:numId w:val="4"/>
        </w:numPr>
        <w:ind w:left="730" w:right="14" w:hanging="365"/>
      </w:pPr>
      <w:r>
        <w:t xml:space="preserve">Contar con mecanismos apropiados para suministrar información de evaluación del riesgo a las autoridades competentes, en los plazos y formas que les sea requerida. Los SO tienen el deber de evaluar el nivel de exposición a los riesgos de LA/FT asociados a diferentes factores, entre los que se encuentran nuevos productos, tecnologías, y/o </w:t>
      </w:r>
      <w:r>
        <w:lastRenderedPageBreak/>
        <w:t>servicios que eventualmente se dispongan a ofrecer, así como factores propios identificados en la operativa y modalidad del negocio.</w:t>
      </w:r>
    </w:p>
    <w:p w14:paraId="751C6566" w14:textId="77777777" w:rsidR="00625637" w:rsidRDefault="0087575E">
      <w:pPr>
        <w:ind w:left="4" w:right="14"/>
      </w:pPr>
      <w:r>
        <w:t>En esta evaluación corresponde tomar en cuenta, además de los criterios que considere el propio SO, el canal de distribución del producto y/o servicio ofrecido, así como otros atributos asociados a los factores de riesgo de LA/FT.</w:t>
      </w:r>
    </w:p>
    <w:p w14:paraId="5D6B0079" w14:textId="77777777" w:rsidR="00625637" w:rsidRDefault="0087575E">
      <w:pPr>
        <w:spacing w:after="161" w:line="260" w:lineRule="auto"/>
        <w:ind w:left="14" w:right="14" w:firstLine="0"/>
      </w:pPr>
      <w:r>
        <w:rPr>
          <w:sz w:val="28"/>
        </w:rPr>
        <w:t>Esta evaluación también será realizada cuando los SO decidan implementar o utilizar nuevas tecnologías en los procesos de comercialización de los productos y/o servicios ofrecidos, o se realice un cambio en un producto existente que modifica su nivel de exposición al riesgo de LA/FT.</w:t>
      </w:r>
    </w:p>
    <w:p w14:paraId="6CFE1D10" w14:textId="77777777" w:rsidR="00625637" w:rsidRDefault="0087575E">
      <w:pPr>
        <w:spacing w:after="203"/>
        <w:ind w:left="4" w:right="14"/>
      </w:pPr>
      <w:r>
        <w:t>Todas estas evaluaciones, una vez identificados los riesgos a los que se encuentren expuestos, se establecen para que el SO desarrolle las medidas apropiadas para manejar y mitigarlos.</w:t>
      </w:r>
    </w:p>
    <w:p w14:paraId="6BADD95C" w14:textId="77777777" w:rsidR="00625637" w:rsidRDefault="0087575E" w:rsidP="00784A85">
      <w:pPr>
        <w:pStyle w:val="Ttulo3"/>
        <w:jc w:val="left"/>
      </w:pPr>
      <w:bookmarkStart w:id="3" w:name="_Toc182224866"/>
      <w:r>
        <w:t>1.2. Metodología de Evaluación</w:t>
      </w:r>
      <w:bookmarkEnd w:id="3"/>
    </w:p>
    <w:p w14:paraId="077883A7" w14:textId="77777777" w:rsidR="00625637" w:rsidRDefault="0087575E">
      <w:pPr>
        <w:spacing w:after="428"/>
        <w:ind w:left="4" w:right="14"/>
      </w:pPr>
      <w:r>
        <w:t xml:space="preserve">A efectos de implementar adecuadamente el proceso de autoevaluación, los SO deberán diseñar una </w:t>
      </w:r>
      <w:r w:rsidRPr="00784A85">
        <w:rPr>
          <w:highlight w:val="yellow"/>
        </w:rPr>
        <w:t>Metodología adecuada a sus características para desarrollarla</w:t>
      </w:r>
      <w:r>
        <w:t xml:space="preserve">, pudiendo apoyarse en matrices y otras herramientas idóneas, a los efectos de medir y evaluar los riesgos, de manera a comprenderlos para determinar las medidas acordes a los </w:t>
      </w:r>
      <w:r w:rsidRPr="00784A85">
        <w:rPr>
          <w:highlight w:val="yellow"/>
        </w:rPr>
        <w:t xml:space="preserve">niveles de </w:t>
      </w:r>
      <w:commentRangeStart w:id="4"/>
      <w:r w:rsidRPr="00784A85">
        <w:rPr>
          <w:highlight w:val="yellow"/>
        </w:rPr>
        <w:t>materialización</w:t>
      </w:r>
      <w:commentRangeEnd w:id="4"/>
      <w:r w:rsidR="00784A85">
        <w:rPr>
          <w:rStyle w:val="Refdecomentario"/>
        </w:rPr>
        <w:commentReference w:id="4"/>
      </w:r>
      <w:r w:rsidRPr="00784A85">
        <w:rPr>
          <w:highlight w:val="yellow"/>
        </w:rPr>
        <w:t xml:space="preserve"> y gravedad del impacto.</w:t>
      </w:r>
    </w:p>
    <w:p w14:paraId="355F606E" w14:textId="1214BD5C" w:rsidR="00625637" w:rsidRDefault="0087575E" w:rsidP="008B4D7E">
      <w:pPr>
        <w:spacing w:after="0"/>
        <w:ind w:left="4" w:right="14"/>
      </w:pPr>
      <w:r>
        <w:t>Atendiendo a tal condición, podrán analizar y tener en consideración los siguientes aspectos:</w:t>
      </w:r>
    </w:p>
    <w:p w14:paraId="40B13568" w14:textId="77777777" w:rsidR="008B4D7E" w:rsidRDefault="008B4D7E" w:rsidP="008B4D7E">
      <w:pPr>
        <w:spacing w:after="0"/>
        <w:ind w:left="4" w:right="14"/>
      </w:pPr>
    </w:p>
    <w:p w14:paraId="27032FBC" w14:textId="77777777" w:rsidR="00625637" w:rsidRDefault="0087575E">
      <w:pPr>
        <w:spacing w:after="176" w:line="216" w:lineRule="auto"/>
        <w:ind w:left="566" w:right="4" w:firstLine="10"/>
      </w:pPr>
      <w:r w:rsidRPr="008B4D7E">
        <w:rPr>
          <w:sz w:val="20"/>
          <w:highlight w:val="yellow"/>
        </w:rPr>
        <w:t xml:space="preserve">La determinación de los factores de riesgo que deben ser considerados por cada sector son los identificados en cada </w:t>
      </w:r>
      <w:r w:rsidRPr="008B4D7E">
        <w:rPr>
          <w:color w:val="FF0000"/>
          <w:sz w:val="20"/>
          <w:highlight w:val="yellow"/>
          <w:u w:val="single"/>
        </w:rPr>
        <w:t>una de sus reglamentaciones</w:t>
      </w:r>
      <w:r w:rsidRPr="008B4D7E">
        <w:rPr>
          <w:sz w:val="20"/>
          <w:highlight w:val="yellow"/>
        </w:rPr>
        <w:t>, las cuales, de manera general abarcan, como mínimo, a los clientes, países o áreas geográficas, productos, servicios, transacciones o canales de envío.</w:t>
      </w:r>
    </w:p>
    <w:p w14:paraId="404AF59F" w14:textId="77777777" w:rsidR="00625637" w:rsidRDefault="0087575E">
      <w:pPr>
        <w:pStyle w:val="Ttulo4"/>
        <w:spacing w:after="127" w:line="259" w:lineRule="auto"/>
        <w:ind w:left="33" w:right="0"/>
        <w:jc w:val="left"/>
      </w:pPr>
      <w:r>
        <w:rPr>
          <w:sz w:val="30"/>
        </w:rPr>
        <w:t>1.2. 1. Diseño de la Metodología</w:t>
      </w:r>
    </w:p>
    <w:p w14:paraId="16BDA2B1" w14:textId="77777777" w:rsidR="00625637" w:rsidRDefault="0087575E">
      <w:pPr>
        <w:spacing w:after="182"/>
        <w:ind w:left="4" w:right="14"/>
      </w:pPr>
      <w:r>
        <w:t>Para el desarrollo de la Metodología de Evaluación, independientemente a los factores que el SO considere prudente observar, deberían tenerse en cuenta los siguientes criterios:</w:t>
      </w:r>
    </w:p>
    <w:p w14:paraId="0417102F" w14:textId="77777777" w:rsidR="00625637" w:rsidRDefault="0087575E">
      <w:pPr>
        <w:numPr>
          <w:ilvl w:val="0"/>
          <w:numId w:val="5"/>
        </w:numPr>
        <w:spacing w:after="0"/>
        <w:ind w:left="730" w:right="14" w:hanging="365"/>
      </w:pPr>
      <w:r>
        <w:t xml:space="preserve">Identificar los factores de riesgo inherentes a </w:t>
      </w:r>
      <w:r w:rsidRPr="008B4D7E">
        <w:rPr>
          <w:highlight w:val="yellow"/>
        </w:rPr>
        <w:t xml:space="preserve">cada </w:t>
      </w:r>
      <w:commentRangeStart w:id="5"/>
      <w:r w:rsidRPr="008B4D7E">
        <w:rPr>
          <w:highlight w:val="yellow"/>
        </w:rPr>
        <w:t>actividad</w:t>
      </w:r>
      <w:commentRangeEnd w:id="5"/>
      <w:r w:rsidR="008B4D7E">
        <w:rPr>
          <w:rStyle w:val="Refdecomentario"/>
        </w:rPr>
        <w:commentReference w:id="5"/>
      </w:r>
      <w:r w:rsidRPr="008B4D7E">
        <w:rPr>
          <w:highlight w:val="yellow"/>
        </w:rPr>
        <w:t xml:space="preserve"> desarrollada</w:t>
      </w:r>
      <w:r>
        <w:t>, así como sus indicadores, analizando cómo y en qué medida estos eventualmente podrían vulnerar el sistema, dando lugar a la posibilidad de comisión de hechos punibles de</w:t>
      </w:r>
    </w:p>
    <w:p w14:paraId="03D4912D" w14:textId="77777777" w:rsidR="00625637" w:rsidRDefault="0087575E">
      <w:pPr>
        <w:spacing w:after="189"/>
        <w:ind w:left="729" w:right="14"/>
      </w:pPr>
      <w:r>
        <w:t>LA/FT o algunos de sus delitos precedentes.</w:t>
      </w:r>
    </w:p>
    <w:p w14:paraId="0CD2245F" w14:textId="77777777" w:rsidR="00625637" w:rsidRDefault="0087575E">
      <w:pPr>
        <w:numPr>
          <w:ilvl w:val="0"/>
          <w:numId w:val="5"/>
        </w:numPr>
        <w:ind w:left="730" w:right="14" w:hanging="365"/>
      </w:pPr>
      <w:r>
        <w:t>Abarcar, en el análisis de identificación de los factores</w:t>
      </w:r>
      <w:r w:rsidRPr="008B4D7E">
        <w:rPr>
          <w:highlight w:val="yellow"/>
        </w:rPr>
        <w:t xml:space="preserve">, la totalidad de los productos y </w:t>
      </w:r>
      <w:commentRangeStart w:id="6"/>
      <w:r w:rsidRPr="008B4D7E">
        <w:rPr>
          <w:highlight w:val="yellow"/>
        </w:rPr>
        <w:t>servicios</w:t>
      </w:r>
      <w:commentRangeEnd w:id="6"/>
      <w:r w:rsidR="008B4D7E">
        <w:rPr>
          <w:rStyle w:val="Refdecomentario"/>
        </w:rPr>
        <w:commentReference w:id="6"/>
      </w:r>
      <w:r>
        <w:t xml:space="preserve"> con los que opera, incluidos los tipos de clientes, canales de distribución, áreas geográficas, transacciones e infraestructura tecnológica.</w:t>
      </w:r>
    </w:p>
    <w:p w14:paraId="74CA0CC0" w14:textId="77777777" w:rsidR="00625637" w:rsidRPr="00580F49" w:rsidRDefault="0087575E">
      <w:pPr>
        <w:numPr>
          <w:ilvl w:val="0"/>
          <w:numId w:val="5"/>
        </w:numPr>
        <w:spacing w:after="198" w:line="256" w:lineRule="auto"/>
        <w:ind w:left="730" w:right="14" w:hanging="365"/>
        <w:rPr>
          <w:highlight w:val="green"/>
        </w:rPr>
      </w:pPr>
      <w:r w:rsidRPr="00580F49">
        <w:rPr>
          <w:highlight w:val="green"/>
        </w:rPr>
        <w:t>Implementar un método para la medición de los riesgos, que básicamente implica el análisis cuantitativo que establezca una relación entre los factores e indicadores de riesgo y la asignación de un valor a estos, en función a la descripción que se haga sobre la importancia que ha de implicar y el grado de probabilidad de que el riesgo se materialice.</w:t>
      </w:r>
    </w:p>
    <w:p w14:paraId="06582374" w14:textId="77777777" w:rsidR="00625637" w:rsidRDefault="0087575E">
      <w:pPr>
        <w:numPr>
          <w:ilvl w:val="0"/>
          <w:numId w:val="5"/>
        </w:numPr>
        <w:ind w:left="730" w:right="14" w:hanging="365"/>
      </w:pPr>
      <w:r>
        <w:lastRenderedPageBreak/>
        <w:t>Establecer cuáles serán los mitigantes que se aplicarán, a fin de reducir las posibilidades o probabilidades de que los riesgos se materialicen.</w:t>
      </w:r>
    </w:p>
    <w:p w14:paraId="7E54DCCC" w14:textId="77777777" w:rsidR="00625637" w:rsidRDefault="0087575E">
      <w:pPr>
        <w:spacing w:after="193" w:line="260" w:lineRule="auto"/>
        <w:ind w:left="14" w:right="14" w:firstLine="0"/>
      </w:pPr>
      <w:r>
        <w:rPr>
          <w:sz w:val="28"/>
        </w:rPr>
        <w:t xml:space="preserve">Se espera que la </w:t>
      </w:r>
      <w:r w:rsidRPr="00911B6D">
        <w:rPr>
          <w:sz w:val="28"/>
          <w:highlight w:val="yellow"/>
        </w:rPr>
        <w:t xml:space="preserve">Metodología describa el proceso utilizado para </w:t>
      </w:r>
      <w:commentRangeStart w:id="7"/>
      <w:r w:rsidRPr="00911B6D">
        <w:rPr>
          <w:sz w:val="28"/>
          <w:highlight w:val="yellow"/>
        </w:rPr>
        <w:t>identificar</w:t>
      </w:r>
      <w:commentRangeEnd w:id="7"/>
      <w:r w:rsidR="00911B6D">
        <w:rPr>
          <w:rStyle w:val="Refdecomentario"/>
        </w:rPr>
        <w:commentReference w:id="7"/>
      </w:r>
      <w:r w:rsidRPr="00911B6D">
        <w:rPr>
          <w:sz w:val="28"/>
          <w:highlight w:val="yellow"/>
        </w:rPr>
        <w:t>, evaluar, analizar y mitigar los riesgos a los cuales se encuentra expuesto el SO,</w:t>
      </w:r>
      <w:r>
        <w:rPr>
          <w:sz w:val="28"/>
        </w:rPr>
        <w:t xml:space="preserve"> de acuerdo con la naturaleza y dimensión de su actividad comercial y los distintos factores de riesgo en cada una de sus líneas de negocio.</w:t>
      </w:r>
    </w:p>
    <w:p w14:paraId="18A77F23" w14:textId="77777777" w:rsidR="00625637" w:rsidRDefault="0087575E">
      <w:pPr>
        <w:pStyle w:val="Ttulo5"/>
        <w:ind w:left="-5"/>
      </w:pPr>
      <w:r>
        <w:t>l. Identificación de los factores e indicadores de riesgo</w:t>
      </w:r>
    </w:p>
    <w:p w14:paraId="6CC53376" w14:textId="77777777" w:rsidR="00625637" w:rsidRDefault="0087575E">
      <w:pPr>
        <w:ind w:left="4" w:right="14"/>
      </w:pPr>
      <w:r>
        <w:t>Para evaluar la exposición al riesgo respecto de cada factor deberán considerarse, entre otros elementos, los siguientes:</w:t>
      </w:r>
    </w:p>
    <w:p w14:paraId="64541639" w14:textId="77777777" w:rsidR="00625637" w:rsidRDefault="0087575E">
      <w:pPr>
        <w:spacing w:after="112" w:line="260" w:lineRule="auto"/>
        <w:ind w:left="355" w:right="14" w:firstLine="0"/>
      </w:pPr>
      <w:r>
        <w:rPr>
          <w:sz w:val="28"/>
        </w:rPr>
        <w:t>a. Clientes</w:t>
      </w:r>
    </w:p>
    <w:p w14:paraId="08E57954" w14:textId="3182AB9C" w:rsidR="00625637" w:rsidRDefault="0087575E">
      <w:pPr>
        <w:spacing w:after="92" w:line="260" w:lineRule="auto"/>
        <w:ind w:left="14" w:right="14" w:firstLine="0"/>
      </w:pPr>
      <w:r>
        <w:rPr>
          <w:sz w:val="28"/>
        </w:rPr>
        <w:t xml:space="preserve">Como criterio general, la admisión de un cliente requiere la adecuada acreditación de su identidad y la recopilación de los datos necesarios para la asignación de un perfil que establezca el nivel de riesgo, lo </w:t>
      </w:r>
      <w:r w:rsidR="008F4B22">
        <w:rPr>
          <w:sz w:val="28"/>
        </w:rPr>
        <w:t>que,</w:t>
      </w:r>
      <w:r>
        <w:rPr>
          <w:sz w:val="28"/>
        </w:rPr>
        <w:t xml:space="preserve"> a su vez, determinará el procedimiento de Debida Diligencia aplicable a cada caso en concreto.</w:t>
      </w:r>
    </w:p>
    <w:p w14:paraId="666C3F37" w14:textId="77777777" w:rsidR="00625637" w:rsidRDefault="0087575E">
      <w:pPr>
        <w:ind w:left="4" w:right="14"/>
      </w:pPr>
      <w:r>
        <w:t>En primer lugar, y en función a la información obtenida, se deberá realizar un primer análisis para descartar que el potencial cliente represente algún supuesto que requiera especial atención, como ser, de manera ejemplificativa, la utilización de un nombre ficticio, o la determinación de que éste actúa por cuenta de otra persona.</w:t>
      </w:r>
    </w:p>
    <w:p w14:paraId="61C2078E" w14:textId="77777777" w:rsidR="00625637" w:rsidRDefault="0087575E">
      <w:pPr>
        <w:ind w:left="4" w:right="14"/>
      </w:pPr>
      <w:r>
        <w:t>Verificada la identidad del cliente, se establecerá la calificación que corresponda, la asignación del perfil y el nivel de Debida Diligencia que, en principio, será administrado.</w:t>
      </w:r>
    </w:p>
    <w:p w14:paraId="6BA8C5F9" w14:textId="77777777" w:rsidR="00625637" w:rsidRDefault="0087575E">
      <w:pPr>
        <w:spacing w:after="138" w:line="260" w:lineRule="auto"/>
        <w:ind w:left="14" w:right="14" w:firstLine="0"/>
      </w:pPr>
      <w:r>
        <w:rPr>
          <w:sz w:val="28"/>
        </w:rPr>
        <w:t>Una vez que la relación comercial se encuentre en curso, corresponde establecer la periodicidad con la que se actualizarán los datos, a fin de comprobar que no existan causales que ameriten la recalificación del cliente, la aplicación de procedimientos específicos, o incluso en algunos casos, la conclusión de la relación comercial ya iniciada.</w:t>
      </w:r>
    </w:p>
    <w:p w14:paraId="44BFD72B" w14:textId="77777777" w:rsidR="00625637" w:rsidRDefault="0087575E">
      <w:pPr>
        <w:spacing w:after="216"/>
        <w:ind w:left="4" w:right="14"/>
      </w:pPr>
      <w:r>
        <w:t>Por tanto, al inicio de la relación, así como en el transcurso de la misma, considerarán cuanto menos los siguientes indicadores:</w:t>
      </w:r>
    </w:p>
    <w:p w14:paraId="0EAE7440" w14:textId="77777777" w:rsidR="00625637" w:rsidRDefault="0087575E" w:rsidP="00911B6D">
      <w:pPr>
        <w:spacing w:after="234"/>
        <w:ind w:left="730" w:right="14" w:firstLine="0"/>
      </w:pPr>
      <w:r>
        <w:t>Tipo de clientes</w:t>
      </w:r>
      <w:r>
        <w:rPr>
          <w:vertAlign w:val="superscript"/>
        </w:rPr>
        <w:footnoteReference w:id="1"/>
      </w:r>
    </w:p>
    <w:p w14:paraId="55AE76BE" w14:textId="77777777" w:rsidR="00625637" w:rsidRDefault="0087575E" w:rsidP="00911B6D">
      <w:pPr>
        <w:spacing w:after="197" w:line="260" w:lineRule="auto"/>
        <w:ind w:left="730" w:right="14" w:firstLine="0"/>
      </w:pPr>
      <w:r>
        <w:rPr>
          <w:sz w:val="28"/>
        </w:rPr>
        <w:t>Porcentaje de participación de cada tipo de cliente en el conjunto total de los mismos.</w:t>
      </w:r>
    </w:p>
    <w:p w14:paraId="210E3968" w14:textId="77777777" w:rsidR="00625637" w:rsidRDefault="0087575E" w:rsidP="00911B6D">
      <w:pPr>
        <w:spacing w:after="238" w:line="260" w:lineRule="auto"/>
        <w:ind w:left="730" w:right="14" w:firstLine="0"/>
      </w:pPr>
      <w:r>
        <w:lastRenderedPageBreak/>
        <w:t>Sector de actividad</w:t>
      </w:r>
      <w:r>
        <w:rPr>
          <w:vertAlign w:val="superscript"/>
        </w:rPr>
        <w:footnoteReference w:id="2"/>
      </w:r>
      <w:r>
        <w:rPr>
          <w:vertAlign w:val="superscript"/>
        </w:rPr>
        <w:footnoteReference w:id="3"/>
      </w:r>
    </w:p>
    <w:p w14:paraId="39BD1137" w14:textId="77777777" w:rsidR="00625637" w:rsidRDefault="0087575E" w:rsidP="00911B6D">
      <w:pPr>
        <w:spacing w:after="230" w:line="260" w:lineRule="auto"/>
        <w:ind w:left="730" w:right="14" w:firstLine="0"/>
      </w:pPr>
      <w:r>
        <w:rPr>
          <w:sz w:val="28"/>
        </w:rPr>
        <w:t>Características del tipo de servicio que contrató o pretende contratar, así como la operación que desea realizar</w:t>
      </w:r>
    </w:p>
    <w:p w14:paraId="254A3AEE" w14:textId="77777777" w:rsidR="00625637" w:rsidRDefault="0087575E" w:rsidP="00911B6D">
      <w:pPr>
        <w:spacing w:after="218"/>
        <w:ind w:left="730" w:right="14" w:firstLine="0"/>
      </w:pPr>
      <w:r>
        <w:t>Origen de los fondos declarados y su consistencia y verosimilitud con la documentación presentada</w:t>
      </w:r>
    </w:p>
    <w:p w14:paraId="2BC38F09" w14:textId="77777777" w:rsidR="00625637" w:rsidRDefault="0087575E" w:rsidP="00911B6D">
      <w:pPr>
        <w:spacing w:after="194"/>
        <w:ind w:left="730" w:right="14" w:firstLine="0"/>
      </w:pPr>
      <w:r>
        <w:t>Nacionalidad.4</w:t>
      </w:r>
    </w:p>
    <w:p w14:paraId="08530631" w14:textId="77777777" w:rsidR="00625637" w:rsidRDefault="0087575E">
      <w:pPr>
        <w:spacing w:after="138" w:line="260" w:lineRule="auto"/>
        <w:ind w:left="14" w:right="14" w:firstLine="0"/>
      </w:pPr>
      <w:r>
        <w:rPr>
          <w:sz w:val="28"/>
        </w:rPr>
        <w:t>Tales indicadores serán considerados para establecer las variables de categorización de los clientes, a fin de establecer si el riesgo que representan es bajo, medio o alto, a fin de aplicar medidas de control acordes.</w:t>
      </w:r>
    </w:p>
    <w:p w14:paraId="742148EF" w14:textId="77777777" w:rsidR="00625637" w:rsidRDefault="0087575E">
      <w:pPr>
        <w:numPr>
          <w:ilvl w:val="0"/>
          <w:numId w:val="7"/>
        </w:numPr>
        <w:spacing w:after="138" w:line="260" w:lineRule="auto"/>
        <w:ind w:right="14" w:hanging="365"/>
      </w:pPr>
      <w:r>
        <w:rPr>
          <w:sz w:val="28"/>
        </w:rPr>
        <w:t>Zona Geográfica</w:t>
      </w:r>
    </w:p>
    <w:p w14:paraId="3BF7EF70" w14:textId="77777777" w:rsidR="00625637" w:rsidRDefault="0087575E">
      <w:pPr>
        <w:spacing w:after="138" w:line="260" w:lineRule="auto"/>
        <w:ind w:left="14" w:right="14" w:firstLine="0"/>
      </w:pPr>
      <w:r>
        <w:rPr>
          <w:sz w:val="28"/>
        </w:rPr>
        <w:t xml:space="preserve">Es de significativa importancia </w:t>
      </w:r>
      <w:r w:rsidRPr="00FC457F">
        <w:rPr>
          <w:sz w:val="28"/>
          <w:u w:val="single"/>
        </w:rPr>
        <w:t xml:space="preserve">la </w:t>
      </w:r>
      <w:r w:rsidRPr="00FC457F">
        <w:rPr>
          <w:sz w:val="28"/>
          <w:highlight w:val="yellow"/>
          <w:u w:val="single"/>
        </w:rPr>
        <w:t>ubicación desde donde o hacia donde</w:t>
      </w:r>
      <w:r>
        <w:rPr>
          <w:sz w:val="28"/>
        </w:rPr>
        <w:t xml:space="preserve"> se realizan las operaciones canalizadas a través del SO; es decir, habrá de tomarse en cuenta la ubicación de la </w:t>
      </w:r>
      <w:r w:rsidRPr="00F331D5">
        <w:rPr>
          <w:sz w:val="28"/>
          <w:highlight w:val="yellow"/>
        </w:rPr>
        <w:t>casa matriz, las sucursales, agencias o asimiladas a cualquiera de ellas</w:t>
      </w:r>
      <w:r>
        <w:rPr>
          <w:sz w:val="28"/>
        </w:rPr>
        <w:t xml:space="preserve">, así como también </w:t>
      </w:r>
      <w:r w:rsidRPr="00F331D5">
        <w:rPr>
          <w:sz w:val="28"/>
          <w:highlight w:val="yellow"/>
        </w:rPr>
        <w:t>el lugar de domicilio del cliente</w:t>
      </w:r>
      <w:r>
        <w:rPr>
          <w:sz w:val="28"/>
        </w:rPr>
        <w:t>, el del lugar de la realización de las actividades de éste, y las particularidades geográficas de cada operación que realiza, sean estas a nivel nacional o internacional.</w:t>
      </w:r>
    </w:p>
    <w:p w14:paraId="31A963D8" w14:textId="77777777" w:rsidR="00625637" w:rsidRDefault="0087575E">
      <w:pPr>
        <w:spacing w:after="190" w:line="260" w:lineRule="auto"/>
        <w:ind w:left="14" w:right="14" w:firstLine="0"/>
      </w:pPr>
      <w:r>
        <w:rPr>
          <w:sz w:val="28"/>
        </w:rPr>
        <w:t xml:space="preserve">La realización de un </w:t>
      </w:r>
      <w:r w:rsidRPr="00F331D5">
        <w:rPr>
          <w:sz w:val="28"/>
          <w:highlight w:val="yellow"/>
        </w:rPr>
        <w:t>relevamiento de información</w:t>
      </w:r>
      <w:r>
        <w:rPr>
          <w:sz w:val="28"/>
        </w:rPr>
        <w:t xml:space="preserve"> por </w:t>
      </w:r>
      <w:r w:rsidRPr="00F331D5">
        <w:rPr>
          <w:sz w:val="28"/>
          <w:highlight w:val="yellow"/>
        </w:rPr>
        <w:t>cada una</w:t>
      </w:r>
      <w:r>
        <w:rPr>
          <w:sz w:val="28"/>
        </w:rPr>
        <w:t xml:space="preserve"> de las zonas geográficas antes mencionadas, permitirá al SO determinar el nivel de riesgo al que pueden verse expuestos, para lo cual deberán considerar como </w:t>
      </w:r>
      <w:r w:rsidRPr="00F331D5">
        <w:rPr>
          <w:sz w:val="28"/>
          <w:highlight w:val="yellow"/>
        </w:rPr>
        <w:t>mínimo</w:t>
      </w:r>
      <w:r>
        <w:rPr>
          <w:sz w:val="28"/>
        </w:rPr>
        <w:t xml:space="preserve"> los siguientes </w:t>
      </w:r>
      <w:r w:rsidRPr="00F331D5">
        <w:rPr>
          <w:sz w:val="28"/>
          <w:highlight w:val="yellow"/>
        </w:rPr>
        <w:t>indicadores</w:t>
      </w:r>
      <w:r>
        <w:rPr>
          <w:sz w:val="28"/>
        </w:rPr>
        <w:t>:</w:t>
      </w:r>
    </w:p>
    <w:p w14:paraId="4A682C3C" w14:textId="77777777" w:rsidR="00625637" w:rsidRDefault="0087575E" w:rsidP="00911B6D">
      <w:pPr>
        <w:spacing w:after="208" w:line="260" w:lineRule="auto"/>
        <w:ind w:left="1104" w:right="14" w:firstLine="0"/>
      </w:pPr>
      <w:r>
        <w:rPr>
          <w:sz w:val="28"/>
        </w:rPr>
        <w:t>Actividades económicas comunes en la zona</w:t>
      </w:r>
      <w:r>
        <w:rPr>
          <w:sz w:val="28"/>
          <w:vertAlign w:val="superscript"/>
        </w:rPr>
        <w:footnoteReference w:id="4"/>
      </w:r>
    </w:p>
    <w:p w14:paraId="1975E0AD" w14:textId="77777777" w:rsidR="00625637" w:rsidRDefault="0087575E" w:rsidP="00911B6D">
      <w:pPr>
        <w:spacing w:after="181" w:line="260" w:lineRule="auto"/>
        <w:ind w:left="1104" w:right="14" w:firstLine="0"/>
      </w:pPr>
      <w:r>
        <w:rPr>
          <w:sz w:val="28"/>
        </w:rPr>
        <w:t xml:space="preserve">Porcentaje de participación de cada zona en los </w:t>
      </w:r>
      <w:r w:rsidRPr="00F331D5">
        <w:rPr>
          <w:sz w:val="28"/>
          <w:highlight w:val="yellow"/>
        </w:rPr>
        <w:t>activos e ingresos</w:t>
      </w:r>
      <w:r>
        <w:rPr>
          <w:sz w:val="28"/>
        </w:rPr>
        <w:t xml:space="preserve"> del </w:t>
      </w:r>
      <w:r w:rsidRPr="004878F3">
        <w:rPr>
          <w:sz w:val="28"/>
          <w:highlight w:val="red"/>
        </w:rPr>
        <w:t>SO</w:t>
      </w:r>
    </w:p>
    <w:p w14:paraId="5A390F62" w14:textId="77777777" w:rsidR="00625637" w:rsidRDefault="0087575E" w:rsidP="00911B6D">
      <w:pPr>
        <w:spacing w:after="199" w:line="260" w:lineRule="auto"/>
        <w:ind w:left="1104" w:right="14" w:firstLine="0"/>
      </w:pPr>
      <w:r>
        <w:rPr>
          <w:sz w:val="28"/>
        </w:rPr>
        <w:t>Presencia de actividades delictivas y sus índices de ocurrencia</w:t>
      </w:r>
      <w:r>
        <w:rPr>
          <w:sz w:val="28"/>
          <w:vertAlign w:val="superscript"/>
        </w:rPr>
        <w:footnoteReference w:id="5"/>
      </w:r>
    </w:p>
    <w:p w14:paraId="5A1007D4" w14:textId="77777777" w:rsidR="00625637" w:rsidRDefault="0087575E" w:rsidP="00911B6D">
      <w:pPr>
        <w:spacing w:after="138" w:line="260" w:lineRule="auto"/>
        <w:ind w:left="1104" w:right="14" w:firstLine="0"/>
      </w:pPr>
      <w:r>
        <w:rPr>
          <w:sz w:val="28"/>
        </w:rPr>
        <w:lastRenderedPageBreak/>
        <w:t>Señales de alerta y ROS vinculados a cada zona</w:t>
      </w:r>
    </w:p>
    <w:p w14:paraId="34093911" w14:textId="77777777" w:rsidR="00625637" w:rsidRPr="00FA640B" w:rsidRDefault="0087575E" w:rsidP="00911B6D">
      <w:pPr>
        <w:spacing w:after="215" w:line="260" w:lineRule="auto"/>
        <w:ind w:left="1104" w:right="14" w:firstLine="0"/>
        <w:rPr>
          <w:u w:val="single"/>
        </w:rPr>
      </w:pPr>
      <w:r w:rsidRPr="004A3598">
        <w:rPr>
          <w:sz w:val="28"/>
          <w:highlight w:val="yellow"/>
        </w:rPr>
        <w:t xml:space="preserve">Actividades o actos terroristas de los cuales </w:t>
      </w:r>
      <w:r w:rsidRPr="00FA640B">
        <w:rPr>
          <w:sz w:val="28"/>
          <w:highlight w:val="yellow"/>
          <w:u w:val="single"/>
        </w:rPr>
        <w:t>se tenga noticia, aunque solo lo fueran en forma de sospecha</w:t>
      </w:r>
    </w:p>
    <w:p w14:paraId="60DF0DFA" w14:textId="77777777" w:rsidR="00625637" w:rsidRDefault="0087575E" w:rsidP="00911B6D">
      <w:pPr>
        <w:spacing w:after="250" w:line="260" w:lineRule="auto"/>
        <w:ind w:left="1104" w:right="14" w:firstLine="0"/>
      </w:pPr>
      <w:r>
        <w:rPr>
          <w:sz w:val="28"/>
        </w:rPr>
        <w:t>Zonas de frontera</w:t>
      </w:r>
    </w:p>
    <w:p w14:paraId="682810A0" w14:textId="77777777" w:rsidR="00625637" w:rsidRDefault="0087575E" w:rsidP="00911B6D">
      <w:pPr>
        <w:ind w:left="1104" w:right="14" w:firstLine="0"/>
      </w:pPr>
      <w:r>
        <w:t>Países con medidas deficientes en materia de LA/FT.</w:t>
      </w:r>
    </w:p>
    <w:p w14:paraId="6412BE0A" w14:textId="77777777" w:rsidR="00625637" w:rsidRDefault="0087575E" w:rsidP="00363433">
      <w:pPr>
        <w:numPr>
          <w:ilvl w:val="0"/>
          <w:numId w:val="7"/>
        </w:numPr>
        <w:spacing w:after="106" w:line="260" w:lineRule="auto"/>
        <w:ind w:right="14" w:hanging="365"/>
      </w:pPr>
      <w:r>
        <w:rPr>
          <w:sz w:val="28"/>
        </w:rPr>
        <w:t>Productos</w:t>
      </w:r>
    </w:p>
    <w:p w14:paraId="3E115F66" w14:textId="77777777" w:rsidR="00625637" w:rsidRDefault="0087575E" w:rsidP="00363433">
      <w:pPr>
        <w:spacing w:after="154"/>
        <w:ind w:left="4" w:right="14"/>
      </w:pPr>
      <w:r w:rsidRPr="00911B6D">
        <w:rPr>
          <w:highlight w:val="yellow"/>
        </w:rPr>
        <w:t xml:space="preserve">El análisis de autoevaluación debe implicar la totalidad de los productos y servicios con los que operan los SO, describiéndose adecuadamente las </w:t>
      </w:r>
      <w:commentRangeStart w:id="8"/>
      <w:r w:rsidRPr="00911B6D">
        <w:rPr>
          <w:highlight w:val="yellow"/>
        </w:rPr>
        <w:t>características</w:t>
      </w:r>
      <w:commentRangeEnd w:id="8"/>
      <w:r w:rsidR="00911B6D">
        <w:rPr>
          <w:rStyle w:val="Refdecomentario"/>
        </w:rPr>
        <w:commentReference w:id="8"/>
      </w:r>
      <w:r w:rsidRPr="00911B6D">
        <w:rPr>
          <w:highlight w:val="yellow"/>
        </w:rPr>
        <w:t xml:space="preserve"> de cada uno de ellos</w:t>
      </w:r>
      <w:r>
        <w:t>. Corresponde prestar atención a aquellos que puedan posibilitar un mayor grado de dificultad en el conocimiento de la identidad del cliente o usuario, las operaciones de altos volúmenes de dinero mediante transferencias, entre otros.</w:t>
      </w:r>
    </w:p>
    <w:p w14:paraId="3B8596C2" w14:textId="77777777" w:rsidR="00625637" w:rsidRDefault="0087575E" w:rsidP="00363433">
      <w:pPr>
        <w:spacing w:after="90"/>
        <w:ind w:left="4" w:right="14"/>
      </w:pPr>
      <w:r w:rsidRPr="002F2081">
        <w:rPr>
          <w:color w:val="auto"/>
        </w:rPr>
        <w:t xml:space="preserve">El proceso deberá ser realizado </w:t>
      </w:r>
      <w:r w:rsidRPr="002F2081">
        <w:rPr>
          <w:b/>
          <w:bCs/>
          <w:color w:val="auto"/>
          <w:u w:val="single"/>
        </w:rPr>
        <w:t>también</w:t>
      </w:r>
      <w:r w:rsidRPr="002F2081">
        <w:rPr>
          <w:color w:val="auto"/>
        </w:rPr>
        <w:t xml:space="preserve"> cuando el SO pretenda el ofrecimiento de un nuevo producto que implique la utilización de nuevas tecnologías, debiendo llevar a cabo la evaluación con </w:t>
      </w:r>
      <w:r w:rsidRPr="002F2081">
        <w:rPr>
          <w:b/>
          <w:bCs/>
          <w:color w:val="auto"/>
          <w:u w:val="single"/>
        </w:rPr>
        <w:t>anterioridad a su lanzamiento</w:t>
      </w:r>
      <w:r>
        <w:t>.</w:t>
      </w:r>
    </w:p>
    <w:p w14:paraId="0EF56DFE" w14:textId="77777777" w:rsidR="00625637" w:rsidRDefault="0087575E" w:rsidP="00363433">
      <w:pPr>
        <w:ind w:left="4" w:right="14"/>
      </w:pPr>
      <w:r>
        <w:t>Indicadores:</w:t>
      </w:r>
    </w:p>
    <w:p w14:paraId="788950C2" w14:textId="77777777" w:rsidR="00625637" w:rsidRDefault="0087575E" w:rsidP="00363433">
      <w:pPr>
        <w:spacing w:after="280"/>
        <w:ind w:left="1104" w:right="14" w:firstLine="0"/>
      </w:pPr>
      <w:r>
        <w:t>Naturaleza y características de los productos</w:t>
      </w:r>
      <w:r>
        <w:rPr>
          <w:vertAlign w:val="superscript"/>
        </w:rPr>
        <w:footnoteReference w:id="6"/>
      </w:r>
    </w:p>
    <w:p w14:paraId="46EC181D" w14:textId="77777777" w:rsidR="00625637" w:rsidRDefault="0087575E" w:rsidP="00363433">
      <w:pPr>
        <w:spacing w:after="216"/>
        <w:ind w:left="1104" w:right="14" w:firstLine="0"/>
      </w:pPr>
      <w:r>
        <w:t>El medio de pago utilizado.</w:t>
      </w:r>
    </w:p>
    <w:p w14:paraId="6A65F144" w14:textId="77777777" w:rsidR="00625637" w:rsidRDefault="0087575E" w:rsidP="00363433">
      <w:pPr>
        <w:spacing w:after="164" w:line="260" w:lineRule="auto"/>
        <w:ind w:left="1104" w:right="14" w:firstLine="0"/>
      </w:pPr>
      <w:r w:rsidRPr="00253DFB">
        <w:rPr>
          <w:sz w:val="28"/>
        </w:rPr>
        <w:t>La participación de cada producto en el total de los activos e ingresos del SO</w:t>
      </w:r>
    </w:p>
    <w:p w14:paraId="63E5AAA6" w14:textId="77777777" w:rsidR="00625637" w:rsidRDefault="0087575E" w:rsidP="00363433">
      <w:pPr>
        <w:spacing w:after="85"/>
        <w:ind w:left="1104" w:right="14" w:firstLine="0"/>
      </w:pPr>
      <w:r>
        <w:t>Señales de alerta y ROS vinculados a cada producto.</w:t>
      </w:r>
    </w:p>
    <w:p w14:paraId="7CD08030" w14:textId="77777777" w:rsidR="00625637" w:rsidRDefault="0087575E">
      <w:pPr>
        <w:numPr>
          <w:ilvl w:val="0"/>
          <w:numId w:val="7"/>
        </w:numPr>
        <w:spacing w:after="133" w:line="259" w:lineRule="auto"/>
        <w:ind w:right="14" w:hanging="365"/>
      </w:pPr>
      <w:r>
        <w:rPr>
          <w:sz w:val="30"/>
        </w:rPr>
        <w:t>Canales de Distribución</w:t>
      </w:r>
    </w:p>
    <w:p w14:paraId="65D2A221" w14:textId="77777777" w:rsidR="00625637" w:rsidRDefault="0087575E">
      <w:pPr>
        <w:ind w:left="4" w:right="14"/>
      </w:pPr>
      <w:r>
        <w:t>Se deben analizar también los canales de distribución de los productos con los que los SO ponen a disposición de sus clientes o usuarios los servicios, determinando por medio de indicadores la susceptibilidad de que estos puedan ser utilizados para la realización de operaciones de LA/FT.</w:t>
      </w:r>
    </w:p>
    <w:p w14:paraId="5CA2AD05" w14:textId="77777777" w:rsidR="00625637" w:rsidRDefault="0087575E">
      <w:pPr>
        <w:spacing w:after="82"/>
        <w:ind w:left="4" w:right="14"/>
      </w:pPr>
      <w:r>
        <w:t xml:space="preserve">Además, en este criterio se considerarán los casos en que los SO </w:t>
      </w:r>
      <w:r w:rsidRPr="005D006A">
        <w:rPr>
          <w:highlight w:val="yellow"/>
        </w:rPr>
        <w:t>implementen nuevas tecnologías</w:t>
      </w:r>
      <w:r>
        <w:t xml:space="preserve"> para la distribución de sus productos o servicios, debiendo realizar la evaluación de manera previa a su implementación o utilización.</w:t>
      </w:r>
    </w:p>
    <w:p w14:paraId="67D47B45" w14:textId="77777777" w:rsidR="00625637" w:rsidRDefault="0087575E">
      <w:pPr>
        <w:spacing w:after="236"/>
        <w:ind w:left="4" w:right="14"/>
      </w:pPr>
      <w:r>
        <w:t>Indicadores:</w:t>
      </w:r>
    </w:p>
    <w:p w14:paraId="5D89F9D4" w14:textId="77777777" w:rsidR="00625637" w:rsidRDefault="0087575E" w:rsidP="00EA3202">
      <w:pPr>
        <w:spacing w:after="275" w:line="260" w:lineRule="auto"/>
        <w:ind w:left="1104" w:right="14" w:firstLine="0"/>
      </w:pPr>
      <w:r>
        <w:rPr>
          <w:sz w:val="28"/>
        </w:rPr>
        <w:t>Naturaleza y características de cada canal</w:t>
      </w:r>
    </w:p>
    <w:p w14:paraId="11422C36" w14:textId="77777777" w:rsidR="00625637" w:rsidRDefault="0087575E" w:rsidP="00EA3202">
      <w:pPr>
        <w:spacing w:after="164" w:line="260" w:lineRule="auto"/>
        <w:ind w:left="1104" w:right="14" w:firstLine="0"/>
      </w:pPr>
      <w:r>
        <w:rPr>
          <w:sz w:val="28"/>
        </w:rPr>
        <w:t>La participación de cada canal en el total de los activos e ingresos del SO</w:t>
      </w:r>
    </w:p>
    <w:p w14:paraId="32A6C033" w14:textId="77777777" w:rsidR="00625637" w:rsidRDefault="0087575E" w:rsidP="00EA3202">
      <w:pPr>
        <w:spacing w:after="138" w:line="260" w:lineRule="auto"/>
        <w:ind w:left="1104" w:right="14" w:firstLine="0"/>
      </w:pPr>
      <w:r>
        <w:rPr>
          <w:sz w:val="28"/>
        </w:rPr>
        <w:t>Señales de alerta y ROS vinculados a cada canal.</w:t>
      </w:r>
    </w:p>
    <w:p w14:paraId="4228414A" w14:textId="77777777" w:rsidR="00625637" w:rsidRDefault="0087575E">
      <w:pPr>
        <w:pStyle w:val="Ttulo5"/>
        <w:spacing w:after="122"/>
        <w:ind w:left="-5"/>
      </w:pPr>
      <w:r>
        <w:lastRenderedPageBreak/>
        <w:t>ll. Medición de los riesgos</w:t>
      </w:r>
    </w:p>
    <w:p w14:paraId="1D5D88C7" w14:textId="77777777" w:rsidR="00625637" w:rsidRDefault="0087575E">
      <w:pPr>
        <w:spacing w:after="256"/>
        <w:ind w:left="4" w:right="14"/>
      </w:pPr>
      <w:r>
        <w:t>Una vez individualizados los factores e indicadores de riesgo, el siguiente paso consiste en asignarles una cuantificación, en atención a la importancia que le es atribuida de manera consistente con la descripción y comprensión de las probabilidades de materialización del nesgo.</w:t>
      </w:r>
    </w:p>
    <w:p w14:paraId="28550C6B" w14:textId="77777777" w:rsidR="00625637" w:rsidRDefault="0087575E">
      <w:pPr>
        <w:spacing w:after="85"/>
        <w:ind w:left="4" w:right="14"/>
      </w:pPr>
      <w:r>
        <w:t>El método escogido deber ser lo suficientemente flexible, de modo a que permita ajustarlo cuando la dinámica operacional así lo amerite. Para medir o evaluar el riesgo, los SO deben establecer un rango o escala de calificación a cada indicador.</w:t>
      </w:r>
    </w:p>
    <w:p w14:paraId="61CA1B58" w14:textId="77777777" w:rsidR="00625637" w:rsidRDefault="0087575E">
      <w:pPr>
        <w:ind w:left="4" w:right="14"/>
      </w:pPr>
      <w:r>
        <w:t>A modo de ejemplo, una herramienta básica para realizar una medición, puede ser implementada a través de una Matriz de Riesgos del tipo 3x3, constituida sobre 3 niveles para la probabilidad de ocurrencia del hecho y la gravedad del impacto para el SO.</w:t>
      </w:r>
    </w:p>
    <w:p w14:paraId="2187DAD5" w14:textId="77777777" w:rsidR="00625637" w:rsidRDefault="0087575E">
      <w:pPr>
        <w:spacing w:after="94"/>
        <w:ind w:left="4" w:right="14"/>
      </w:pPr>
      <w:r>
        <w:t>Dicho modelo puede aplicarse para el mapeo de los riesgos ya sea de manera individual o en conjunto, de acuerdo a la metodología adoptada y los factores aplicables.</w:t>
      </w:r>
    </w:p>
    <w:p w14:paraId="73E2EB60" w14:textId="77777777" w:rsidR="00625637" w:rsidRDefault="0087575E">
      <w:pPr>
        <w:spacing w:after="174" w:line="260" w:lineRule="auto"/>
        <w:ind w:left="14" w:right="14" w:firstLine="0"/>
      </w:pPr>
      <w:r>
        <w:rPr>
          <w:sz w:val="28"/>
        </w:rPr>
        <w:t>Ejemplo de Matriz de Riesgo 3x3</w:t>
      </w:r>
    </w:p>
    <w:p w14:paraId="636CC572" w14:textId="77777777" w:rsidR="00625637" w:rsidRDefault="0087575E">
      <w:pPr>
        <w:spacing w:after="643" w:line="259" w:lineRule="auto"/>
        <w:ind w:left="844" w:firstLine="0"/>
        <w:jc w:val="left"/>
      </w:pPr>
      <w:r>
        <w:rPr>
          <w:noProof/>
        </w:rPr>
        <w:drawing>
          <wp:inline distT="0" distB="0" distL="0" distR="0" wp14:anchorId="08583BDF" wp14:editId="3BFD85EC">
            <wp:extent cx="4960143" cy="2047089"/>
            <wp:effectExtent l="0" t="0" r="0" b="0"/>
            <wp:docPr id="96409" name="Picture 96409"/>
            <wp:cNvGraphicFramePr/>
            <a:graphic xmlns:a="http://schemas.openxmlformats.org/drawingml/2006/main">
              <a:graphicData uri="http://schemas.openxmlformats.org/drawingml/2006/picture">
                <pic:pic xmlns:pic="http://schemas.openxmlformats.org/drawingml/2006/picture">
                  <pic:nvPicPr>
                    <pic:cNvPr id="96409" name="Picture 96409"/>
                    <pic:cNvPicPr/>
                  </pic:nvPicPr>
                  <pic:blipFill>
                    <a:blip r:embed="rId15"/>
                    <a:stretch>
                      <a:fillRect/>
                    </a:stretch>
                  </pic:blipFill>
                  <pic:spPr>
                    <a:xfrm>
                      <a:off x="0" y="0"/>
                      <a:ext cx="4960143" cy="2047089"/>
                    </a:xfrm>
                    <a:prstGeom prst="rect">
                      <a:avLst/>
                    </a:prstGeom>
                  </pic:spPr>
                </pic:pic>
              </a:graphicData>
            </a:graphic>
          </wp:inline>
        </w:drawing>
      </w:r>
    </w:p>
    <w:p w14:paraId="5EDFA51E" w14:textId="77777777" w:rsidR="00625637" w:rsidRDefault="0087575E">
      <w:pPr>
        <w:spacing w:after="245"/>
        <w:ind w:left="4" w:right="14"/>
      </w:pPr>
      <w:r>
        <w:t>Un ejemplo de medición conforme a la Matriz de Riesgos puede ser la siguiente:</w:t>
      </w:r>
    </w:p>
    <w:tbl>
      <w:tblPr>
        <w:tblStyle w:val="TableGrid"/>
        <w:tblW w:w="5901" w:type="dxa"/>
        <w:tblInd w:w="2034" w:type="dxa"/>
        <w:tblCellMar>
          <w:left w:w="29" w:type="dxa"/>
          <w:right w:w="36" w:type="dxa"/>
        </w:tblCellMar>
        <w:tblLook w:val="04A0" w:firstRow="1" w:lastRow="0" w:firstColumn="1" w:lastColumn="0" w:noHBand="0" w:noVBand="1"/>
      </w:tblPr>
      <w:tblGrid>
        <w:gridCol w:w="1303"/>
        <w:gridCol w:w="1477"/>
        <w:gridCol w:w="3121"/>
      </w:tblGrid>
      <w:tr w:rsidR="00625637" w14:paraId="7F24144E" w14:textId="77777777" w:rsidTr="00EA3202">
        <w:trPr>
          <w:trHeight w:val="221"/>
        </w:trPr>
        <w:tc>
          <w:tcPr>
            <w:tcW w:w="1303" w:type="dxa"/>
            <w:tcBorders>
              <w:top w:val="single" w:sz="2" w:space="0" w:color="000000"/>
              <w:left w:val="single" w:sz="2" w:space="0" w:color="000000"/>
              <w:bottom w:val="single" w:sz="2" w:space="0" w:color="000000"/>
              <w:right w:val="single" w:sz="2" w:space="0" w:color="000000"/>
            </w:tcBorders>
          </w:tcPr>
          <w:p w14:paraId="44CE4FA8" w14:textId="77777777" w:rsidR="00625637" w:rsidRDefault="0087575E">
            <w:pPr>
              <w:spacing w:after="0" w:line="259" w:lineRule="auto"/>
              <w:ind w:left="48" w:firstLine="0"/>
              <w:jc w:val="center"/>
            </w:pPr>
            <w:r>
              <w:rPr>
                <w:sz w:val="24"/>
              </w:rPr>
              <w:t>RIESGO</w:t>
            </w:r>
          </w:p>
        </w:tc>
        <w:tc>
          <w:tcPr>
            <w:tcW w:w="1477" w:type="dxa"/>
            <w:tcBorders>
              <w:top w:val="single" w:sz="2" w:space="0" w:color="000000"/>
              <w:left w:val="single" w:sz="2" w:space="0" w:color="000000"/>
              <w:bottom w:val="single" w:sz="2" w:space="0" w:color="000000"/>
              <w:right w:val="single" w:sz="2" w:space="0" w:color="000000"/>
            </w:tcBorders>
          </w:tcPr>
          <w:p w14:paraId="39D2BF1E" w14:textId="77777777" w:rsidR="00625637" w:rsidRDefault="0087575E">
            <w:pPr>
              <w:spacing w:after="0" w:line="259" w:lineRule="auto"/>
              <w:ind w:left="23" w:firstLine="0"/>
              <w:jc w:val="center"/>
            </w:pPr>
            <w:r>
              <w:rPr>
                <w:sz w:val="22"/>
              </w:rPr>
              <w:t>MEDICIÓN</w:t>
            </w:r>
          </w:p>
        </w:tc>
        <w:tc>
          <w:tcPr>
            <w:tcW w:w="3121" w:type="dxa"/>
            <w:tcBorders>
              <w:top w:val="single" w:sz="2" w:space="0" w:color="000000"/>
              <w:left w:val="single" w:sz="2" w:space="0" w:color="000000"/>
              <w:bottom w:val="single" w:sz="2" w:space="0" w:color="000000"/>
              <w:right w:val="single" w:sz="2" w:space="0" w:color="000000"/>
            </w:tcBorders>
          </w:tcPr>
          <w:p w14:paraId="64FAA8A1" w14:textId="77777777" w:rsidR="00625637" w:rsidRDefault="00625637">
            <w:pPr>
              <w:spacing w:after="160" w:line="259" w:lineRule="auto"/>
              <w:ind w:left="0" w:firstLine="0"/>
              <w:jc w:val="left"/>
            </w:pPr>
          </w:p>
        </w:tc>
      </w:tr>
      <w:tr w:rsidR="00625637" w14:paraId="5180BD9E" w14:textId="77777777" w:rsidTr="00EA3202">
        <w:trPr>
          <w:trHeight w:val="393"/>
        </w:trPr>
        <w:tc>
          <w:tcPr>
            <w:tcW w:w="1303" w:type="dxa"/>
            <w:tcBorders>
              <w:top w:val="single" w:sz="2" w:space="0" w:color="000000"/>
              <w:left w:val="single" w:sz="2" w:space="0" w:color="000000"/>
              <w:bottom w:val="single" w:sz="2" w:space="0" w:color="000000"/>
              <w:right w:val="single" w:sz="2" w:space="0" w:color="000000"/>
            </w:tcBorders>
          </w:tcPr>
          <w:p w14:paraId="262C0327" w14:textId="77777777" w:rsidR="00625637" w:rsidRDefault="00625637">
            <w:pPr>
              <w:spacing w:after="160" w:line="259" w:lineRule="auto"/>
              <w:ind w:left="0" w:firstLine="0"/>
              <w:jc w:val="left"/>
            </w:pPr>
          </w:p>
        </w:tc>
        <w:tc>
          <w:tcPr>
            <w:tcW w:w="1477" w:type="dxa"/>
            <w:tcBorders>
              <w:top w:val="single" w:sz="2" w:space="0" w:color="000000"/>
              <w:left w:val="single" w:sz="2" w:space="0" w:color="000000"/>
              <w:bottom w:val="single" w:sz="2" w:space="0" w:color="000000"/>
              <w:right w:val="single" w:sz="2" w:space="0" w:color="000000"/>
            </w:tcBorders>
            <w:vAlign w:val="center"/>
          </w:tcPr>
          <w:p w14:paraId="0181AABD" w14:textId="006A64F0" w:rsidR="00625637" w:rsidRDefault="00A13FD1" w:rsidP="00A13FD1">
            <w:pPr>
              <w:spacing w:after="0" w:line="259" w:lineRule="auto"/>
              <w:ind w:left="0" w:right="18" w:firstLine="0"/>
              <w:jc w:val="center"/>
            </w:pPr>
            <w:r>
              <w:rPr>
                <w:sz w:val="18"/>
              </w:rPr>
              <w:t xml:space="preserve">                    </w:t>
            </w:r>
            <w:r w:rsidRPr="00A13FD1">
              <w:rPr>
                <w:sz w:val="18"/>
              </w:rPr>
              <w:t xml:space="preserve">0 </w:t>
            </w:r>
            <w:r w:rsidR="0087575E" w:rsidRPr="00A13FD1">
              <w:rPr>
                <w:sz w:val="18"/>
              </w:rPr>
              <w:t>a</w:t>
            </w:r>
            <w:r w:rsidRPr="00A13FD1">
              <w:rPr>
                <w:sz w:val="18"/>
              </w:rPr>
              <w:t xml:space="preserve"> </w:t>
            </w:r>
            <w:r w:rsidR="0087575E" w:rsidRPr="00A13FD1">
              <w:rPr>
                <w:sz w:val="18"/>
              </w:rPr>
              <w:t>2</w:t>
            </w:r>
          </w:p>
        </w:tc>
        <w:tc>
          <w:tcPr>
            <w:tcW w:w="3121" w:type="dxa"/>
            <w:tcBorders>
              <w:top w:val="single" w:sz="2" w:space="0" w:color="000000"/>
              <w:left w:val="single" w:sz="2" w:space="0" w:color="000000"/>
              <w:bottom w:val="single" w:sz="2" w:space="0" w:color="000000"/>
              <w:right w:val="single" w:sz="2" w:space="0" w:color="000000"/>
            </w:tcBorders>
            <w:vAlign w:val="center"/>
          </w:tcPr>
          <w:p w14:paraId="667FD7A5" w14:textId="77777777" w:rsidR="00625637" w:rsidRDefault="0087575E" w:rsidP="00EA3202">
            <w:pPr>
              <w:spacing w:after="0" w:line="259" w:lineRule="auto"/>
              <w:ind w:left="0" w:right="18" w:firstLine="0"/>
              <w:jc w:val="center"/>
            </w:pPr>
            <w:r>
              <w:rPr>
                <w:sz w:val="22"/>
              </w:rPr>
              <w:t>ACEPTACIÓN DEL RIESGO</w:t>
            </w:r>
          </w:p>
        </w:tc>
      </w:tr>
      <w:tr w:rsidR="00625637" w14:paraId="06B7FA24" w14:textId="77777777" w:rsidTr="004A771F">
        <w:trPr>
          <w:trHeight w:val="268"/>
        </w:trPr>
        <w:tc>
          <w:tcPr>
            <w:tcW w:w="1303" w:type="dxa"/>
            <w:tcBorders>
              <w:top w:val="single" w:sz="2" w:space="0" w:color="000000"/>
              <w:left w:val="single" w:sz="2" w:space="0" w:color="000000"/>
              <w:bottom w:val="single" w:sz="2" w:space="0" w:color="000000"/>
              <w:right w:val="single" w:sz="2" w:space="0" w:color="000000"/>
            </w:tcBorders>
            <w:shd w:val="clear" w:color="auto" w:fill="00B050"/>
          </w:tcPr>
          <w:p w14:paraId="52F7322F" w14:textId="45549FDC" w:rsidR="00625637" w:rsidRDefault="004A771F" w:rsidP="004A771F">
            <w:pPr>
              <w:spacing w:after="160" w:line="259" w:lineRule="auto"/>
              <w:ind w:left="0" w:firstLine="0"/>
              <w:jc w:val="center"/>
            </w:pPr>
            <w:r>
              <w:t>BAJO</w:t>
            </w:r>
          </w:p>
        </w:tc>
        <w:tc>
          <w:tcPr>
            <w:tcW w:w="1477" w:type="dxa"/>
            <w:tcBorders>
              <w:top w:val="single" w:sz="2" w:space="0" w:color="000000"/>
              <w:left w:val="single" w:sz="2" w:space="0" w:color="000000"/>
              <w:bottom w:val="single" w:sz="2" w:space="0" w:color="000000"/>
              <w:right w:val="single" w:sz="2" w:space="0" w:color="000000"/>
            </w:tcBorders>
          </w:tcPr>
          <w:p w14:paraId="704D2278" w14:textId="77777777" w:rsidR="00625637" w:rsidRDefault="0087575E">
            <w:pPr>
              <w:spacing w:after="0" w:line="259" w:lineRule="auto"/>
              <w:ind w:left="0" w:right="18" w:firstLine="0"/>
              <w:jc w:val="right"/>
            </w:pPr>
            <w:r>
              <w:rPr>
                <w:sz w:val="18"/>
              </w:rPr>
              <w:t>2,1 a 3</w:t>
            </w:r>
          </w:p>
        </w:tc>
        <w:tc>
          <w:tcPr>
            <w:tcW w:w="3121" w:type="dxa"/>
            <w:tcBorders>
              <w:top w:val="single" w:sz="2" w:space="0" w:color="000000"/>
              <w:left w:val="single" w:sz="2" w:space="0" w:color="000000"/>
              <w:bottom w:val="single" w:sz="2" w:space="0" w:color="000000"/>
              <w:right w:val="single" w:sz="2" w:space="0" w:color="000000"/>
            </w:tcBorders>
          </w:tcPr>
          <w:p w14:paraId="5A3036ED" w14:textId="77777777" w:rsidR="00625637" w:rsidRDefault="0087575E" w:rsidP="00EA3202">
            <w:pPr>
              <w:spacing w:after="0" w:line="259" w:lineRule="auto"/>
              <w:ind w:left="0" w:right="18" w:firstLine="0"/>
              <w:jc w:val="center"/>
            </w:pPr>
            <w:r>
              <w:rPr>
                <w:sz w:val="24"/>
              </w:rPr>
              <w:t>APETITO DE RIESGO</w:t>
            </w:r>
          </w:p>
        </w:tc>
      </w:tr>
      <w:tr w:rsidR="00625637" w14:paraId="79D25CC7" w14:textId="77777777" w:rsidTr="004A771F">
        <w:trPr>
          <w:trHeight w:val="350"/>
        </w:trPr>
        <w:tc>
          <w:tcPr>
            <w:tcW w:w="1303" w:type="dxa"/>
            <w:tcBorders>
              <w:top w:val="single" w:sz="2" w:space="0" w:color="000000"/>
              <w:left w:val="single" w:sz="2" w:space="0" w:color="000000"/>
              <w:bottom w:val="single" w:sz="2" w:space="0" w:color="000000"/>
              <w:right w:val="single" w:sz="2" w:space="0" w:color="000000"/>
            </w:tcBorders>
            <w:shd w:val="clear" w:color="auto" w:fill="FFFF00"/>
          </w:tcPr>
          <w:p w14:paraId="5B03FAF6" w14:textId="7768B235" w:rsidR="004A771F" w:rsidRDefault="004A771F" w:rsidP="004A771F">
            <w:pPr>
              <w:spacing w:after="0" w:line="259" w:lineRule="auto"/>
              <w:ind w:left="0" w:firstLine="0"/>
              <w:jc w:val="center"/>
            </w:pPr>
            <w:r>
              <w:t>MEDIO</w:t>
            </w:r>
          </w:p>
        </w:tc>
        <w:tc>
          <w:tcPr>
            <w:tcW w:w="1477" w:type="dxa"/>
            <w:tcBorders>
              <w:top w:val="single" w:sz="2" w:space="0" w:color="000000"/>
              <w:left w:val="single" w:sz="2" w:space="0" w:color="000000"/>
              <w:bottom w:val="single" w:sz="2" w:space="0" w:color="000000"/>
              <w:right w:val="single" w:sz="2" w:space="0" w:color="000000"/>
            </w:tcBorders>
          </w:tcPr>
          <w:p w14:paraId="42BF9EF0" w14:textId="77777777" w:rsidR="00625637" w:rsidRDefault="0087575E">
            <w:pPr>
              <w:spacing w:after="0" w:line="259" w:lineRule="auto"/>
              <w:ind w:left="0" w:right="18" w:firstLine="0"/>
              <w:jc w:val="right"/>
            </w:pPr>
            <w:r>
              <w:rPr>
                <w:sz w:val="18"/>
              </w:rPr>
              <w:t>3,1 a 4</w:t>
            </w:r>
          </w:p>
        </w:tc>
        <w:tc>
          <w:tcPr>
            <w:tcW w:w="3121" w:type="dxa"/>
            <w:tcBorders>
              <w:top w:val="single" w:sz="2" w:space="0" w:color="000000"/>
              <w:left w:val="single" w:sz="2" w:space="0" w:color="000000"/>
              <w:bottom w:val="single" w:sz="2" w:space="0" w:color="000000"/>
              <w:right w:val="single" w:sz="2" w:space="0" w:color="000000"/>
            </w:tcBorders>
          </w:tcPr>
          <w:p w14:paraId="4C41226C" w14:textId="77777777" w:rsidR="00625637" w:rsidRDefault="0087575E" w:rsidP="00EA3202">
            <w:pPr>
              <w:spacing w:after="0" w:line="259" w:lineRule="auto"/>
              <w:ind w:left="0" w:right="18" w:firstLine="0"/>
              <w:jc w:val="center"/>
            </w:pPr>
            <w:r>
              <w:rPr>
                <w:sz w:val="22"/>
              </w:rPr>
              <w:t>TOLERANCIA DEL RIESGO</w:t>
            </w:r>
          </w:p>
        </w:tc>
      </w:tr>
      <w:tr w:rsidR="00625637" w14:paraId="1E99FEFF" w14:textId="77777777" w:rsidTr="004A771F">
        <w:trPr>
          <w:trHeight w:val="312"/>
        </w:trPr>
        <w:tc>
          <w:tcPr>
            <w:tcW w:w="1303" w:type="dxa"/>
            <w:tcBorders>
              <w:top w:val="single" w:sz="2" w:space="0" w:color="000000"/>
              <w:left w:val="single" w:sz="2" w:space="0" w:color="000000"/>
              <w:bottom w:val="single" w:sz="2" w:space="0" w:color="000000"/>
              <w:right w:val="single" w:sz="2" w:space="0" w:color="000000"/>
            </w:tcBorders>
            <w:shd w:val="clear" w:color="auto" w:fill="FF0000"/>
          </w:tcPr>
          <w:p w14:paraId="163E2C71" w14:textId="529E1E59" w:rsidR="004A771F" w:rsidRDefault="004A771F" w:rsidP="004A771F">
            <w:pPr>
              <w:spacing w:after="160" w:line="259" w:lineRule="auto"/>
              <w:ind w:left="0" w:firstLine="0"/>
              <w:jc w:val="center"/>
            </w:pPr>
            <w:r>
              <w:t>ALTO</w:t>
            </w:r>
          </w:p>
        </w:tc>
        <w:tc>
          <w:tcPr>
            <w:tcW w:w="1477" w:type="dxa"/>
            <w:tcBorders>
              <w:top w:val="single" w:sz="2" w:space="0" w:color="000000"/>
              <w:left w:val="single" w:sz="2" w:space="0" w:color="000000"/>
              <w:bottom w:val="single" w:sz="2" w:space="0" w:color="000000"/>
              <w:right w:val="single" w:sz="2" w:space="0" w:color="000000"/>
            </w:tcBorders>
          </w:tcPr>
          <w:p w14:paraId="6A3B9F20" w14:textId="77777777" w:rsidR="00625637" w:rsidRDefault="0087575E">
            <w:pPr>
              <w:spacing w:after="0" w:line="259" w:lineRule="auto"/>
              <w:ind w:left="0" w:right="18" w:firstLine="0"/>
              <w:jc w:val="right"/>
            </w:pPr>
            <w:r>
              <w:rPr>
                <w:sz w:val="18"/>
              </w:rPr>
              <w:t>4,1 a 6</w:t>
            </w:r>
          </w:p>
        </w:tc>
        <w:tc>
          <w:tcPr>
            <w:tcW w:w="3121" w:type="dxa"/>
            <w:tcBorders>
              <w:top w:val="single" w:sz="2" w:space="0" w:color="000000"/>
              <w:left w:val="single" w:sz="2" w:space="0" w:color="000000"/>
              <w:bottom w:val="single" w:sz="2" w:space="0" w:color="000000"/>
              <w:right w:val="single" w:sz="2" w:space="0" w:color="000000"/>
            </w:tcBorders>
          </w:tcPr>
          <w:p w14:paraId="0C5471AF" w14:textId="77777777" w:rsidR="00625637" w:rsidRDefault="0087575E" w:rsidP="00EA3202">
            <w:pPr>
              <w:spacing w:after="0" w:line="259" w:lineRule="auto"/>
              <w:ind w:left="0" w:right="18" w:firstLine="0"/>
              <w:jc w:val="center"/>
            </w:pPr>
            <w:r>
              <w:rPr>
                <w:sz w:val="22"/>
              </w:rPr>
              <w:t>ADVERSIÓN AL RIESGO</w:t>
            </w:r>
          </w:p>
        </w:tc>
      </w:tr>
    </w:tbl>
    <w:p w14:paraId="14D84DDD" w14:textId="77777777" w:rsidR="00625637" w:rsidRPr="00853B44" w:rsidRDefault="0087575E">
      <w:pPr>
        <w:ind w:left="4" w:right="14"/>
        <w:rPr>
          <w:color w:val="FFFF00"/>
        </w:rPr>
      </w:pPr>
      <w:r w:rsidRPr="00853B44">
        <w:rPr>
          <w:color w:val="FFFF00"/>
          <w:highlight w:val="red"/>
        </w:rPr>
        <w:t>Es importante recalcar que las recomendaciones internacionales y las reglamentaciones de SEPRELAD no prescriben una metodología para la realización de las autoevaluaciones, ni una determinada herramienta de apoyo, razones por las cuales su diseño, así como la política de gestión de los riesgos, son realizados por el SO.</w:t>
      </w:r>
    </w:p>
    <w:p w14:paraId="001D41C6" w14:textId="77777777" w:rsidR="004A771F" w:rsidRDefault="004A771F">
      <w:pPr>
        <w:spacing w:after="181" w:line="260" w:lineRule="auto"/>
        <w:ind w:left="14" w:right="14" w:firstLine="0"/>
        <w:rPr>
          <w:sz w:val="28"/>
        </w:rPr>
      </w:pPr>
    </w:p>
    <w:p w14:paraId="764CEB58" w14:textId="77777777" w:rsidR="005B7A2B" w:rsidRDefault="005B7A2B">
      <w:pPr>
        <w:spacing w:after="181" w:line="260" w:lineRule="auto"/>
        <w:ind w:left="14" w:right="14" w:firstLine="0"/>
        <w:rPr>
          <w:sz w:val="28"/>
        </w:rPr>
      </w:pPr>
    </w:p>
    <w:p w14:paraId="0BE2AAC1" w14:textId="1D0C2750" w:rsidR="004A771F" w:rsidRDefault="0087575E">
      <w:pPr>
        <w:spacing w:after="181" w:line="260" w:lineRule="auto"/>
        <w:ind w:left="14" w:right="14" w:firstLine="0"/>
        <w:rPr>
          <w:sz w:val="28"/>
        </w:rPr>
      </w:pPr>
      <w:r>
        <w:rPr>
          <w:sz w:val="28"/>
        </w:rPr>
        <w:lastRenderedPageBreak/>
        <w:t xml:space="preserve">Los SO deben </w:t>
      </w:r>
      <w:commentRangeStart w:id="9"/>
      <w:r>
        <w:rPr>
          <w:sz w:val="28"/>
        </w:rPr>
        <w:t xml:space="preserve">documentar adecuadamente </w:t>
      </w:r>
    </w:p>
    <w:p w14:paraId="29167260" w14:textId="77777777" w:rsidR="004A771F" w:rsidRPr="005B7A2B" w:rsidRDefault="0087575E" w:rsidP="004A771F">
      <w:pPr>
        <w:pStyle w:val="Prrafodelista"/>
        <w:numPr>
          <w:ilvl w:val="0"/>
          <w:numId w:val="22"/>
        </w:numPr>
        <w:spacing w:after="181" w:line="260" w:lineRule="auto"/>
        <w:ind w:right="14"/>
        <w:rPr>
          <w:sz w:val="28"/>
          <w:highlight w:val="yellow"/>
        </w:rPr>
      </w:pPr>
      <w:r w:rsidRPr="005B7A2B">
        <w:rPr>
          <w:sz w:val="28"/>
          <w:highlight w:val="yellow"/>
        </w:rPr>
        <w:t xml:space="preserve">el proceso, </w:t>
      </w:r>
    </w:p>
    <w:p w14:paraId="5E043716" w14:textId="77777777" w:rsidR="004A771F" w:rsidRPr="005B7A2B" w:rsidRDefault="0087575E" w:rsidP="004A771F">
      <w:pPr>
        <w:pStyle w:val="Prrafodelista"/>
        <w:numPr>
          <w:ilvl w:val="0"/>
          <w:numId w:val="22"/>
        </w:numPr>
        <w:spacing w:after="181" w:line="260" w:lineRule="auto"/>
        <w:ind w:right="14"/>
        <w:rPr>
          <w:sz w:val="28"/>
          <w:highlight w:val="yellow"/>
        </w:rPr>
      </w:pPr>
      <w:r w:rsidRPr="005B7A2B">
        <w:rPr>
          <w:sz w:val="28"/>
          <w:highlight w:val="yellow"/>
        </w:rPr>
        <w:t xml:space="preserve">el resultado de su medición o </w:t>
      </w:r>
      <w:commentRangeStart w:id="10"/>
      <w:r w:rsidRPr="005B7A2B">
        <w:rPr>
          <w:sz w:val="28"/>
          <w:highlight w:val="yellow"/>
        </w:rPr>
        <w:t>evaluación</w:t>
      </w:r>
      <w:commentRangeEnd w:id="10"/>
      <w:r w:rsidR="005B7A2B">
        <w:rPr>
          <w:rStyle w:val="Refdecomentario"/>
        </w:rPr>
        <w:commentReference w:id="10"/>
      </w:r>
      <w:r w:rsidRPr="005B7A2B">
        <w:rPr>
          <w:sz w:val="28"/>
          <w:highlight w:val="yellow"/>
        </w:rPr>
        <w:t xml:space="preserve"> y </w:t>
      </w:r>
    </w:p>
    <w:p w14:paraId="503271DB" w14:textId="77777777" w:rsidR="004A771F" w:rsidRPr="005B7A2B" w:rsidRDefault="0087575E" w:rsidP="004A771F">
      <w:pPr>
        <w:pStyle w:val="Prrafodelista"/>
        <w:numPr>
          <w:ilvl w:val="0"/>
          <w:numId w:val="22"/>
        </w:numPr>
        <w:spacing w:after="181" w:line="260" w:lineRule="auto"/>
        <w:ind w:right="14"/>
        <w:rPr>
          <w:sz w:val="28"/>
          <w:highlight w:val="yellow"/>
        </w:rPr>
      </w:pPr>
      <w:r w:rsidRPr="005B7A2B">
        <w:rPr>
          <w:sz w:val="28"/>
          <w:highlight w:val="yellow"/>
        </w:rPr>
        <w:t xml:space="preserve">el porqué de la asignación del rango, así como </w:t>
      </w:r>
    </w:p>
    <w:p w14:paraId="492FC6DD" w14:textId="62C239DB" w:rsidR="00625637" w:rsidRDefault="0087575E" w:rsidP="004A771F">
      <w:pPr>
        <w:pStyle w:val="Prrafodelista"/>
        <w:numPr>
          <w:ilvl w:val="0"/>
          <w:numId w:val="22"/>
        </w:numPr>
        <w:spacing w:after="181" w:line="260" w:lineRule="auto"/>
        <w:ind w:right="14"/>
      </w:pPr>
      <w:r w:rsidRPr="005B7A2B">
        <w:rPr>
          <w:sz w:val="28"/>
          <w:highlight w:val="yellow"/>
        </w:rPr>
        <w:t>las áreas que han proporcionado los datos analizados</w:t>
      </w:r>
      <w:r w:rsidRPr="004A771F">
        <w:rPr>
          <w:sz w:val="28"/>
        </w:rPr>
        <w:t>.</w:t>
      </w:r>
      <w:commentRangeEnd w:id="9"/>
      <w:r w:rsidR="004A771F">
        <w:rPr>
          <w:rStyle w:val="Refdecomentario"/>
        </w:rPr>
        <w:commentReference w:id="9"/>
      </w:r>
    </w:p>
    <w:p w14:paraId="48ECF33D" w14:textId="77777777" w:rsidR="00625637" w:rsidRDefault="0087575E">
      <w:pPr>
        <w:pStyle w:val="Ttulo5"/>
        <w:spacing w:after="177"/>
        <w:ind w:left="-5"/>
      </w:pPr>
      <w:r>
        <w:t>III. Mitigantes</w:t>
      </w:r>
    </w:p>
    <w:p w14:paraId="453C34AA" w14:textId="77777777" w:rsidR="00625637" w:rsidRDefault="0087575E">
      <w:pPr>
        <w:ind w:left="4" w:right="14"/>
      </w:pPr>
      <w:r>
        <w:t xml:space="preserve">Seguidamente, ya con los factores e indicadores debidamente identificados, así como la asignación de los rangos de riesgo, con base a tal conocimiento, deberán establecerse los controles, periodicidad, estructuras internas, medidas, criterios, políticas y procedimientos a ser implementados, así como los recursos que estarán avocados a </w:t>
      </w:r>
      <w:proofErr w:type="gramStart"/>
      <w:r>
        <w:t>la tareas</w:t>
      </w:r>
      <w:proofErr w:type="gramEnd"/>
      <w:r>
        <w:t xml:space="preserve"> que éstas</w:t>
      </w:r>
    </w:p>
    <w:p w14:paraId="44218DB6" w14:textId="77777777" w:rsidR="00625637" w:rsidRDefault="0087575E" w:rsidP="004A771F">
      <w:pPr>
        <w:spacing w:after="152"/>
        <w:ind w:left="0" w:right="14" w:firstLine="0"/>
      </w:pPr>
      <w:r>
        <w:t>impliquen, con el objeto de anular o disminuir significativamente la exposición del SO a los riesgos de LA/FT.</w:t>
      </w:r>
    </w:p>
    <w:p w14:paraId="56464865" w14:textId="77777777" w:rsidR="00625637" w:rsidRDefault="0087575E">
      <w:pPr>
        <w:spacing w:after="179" w:line="312" w:lineRule="auto"/>
        <w:ind w:left="4" w:right="14"/>
      </w:pPr>
      <w:r>
        <w:t>A modo de ejemplo, se citan algunos medios que pueden ser considerados por los SO, como mitigantes:</w:t>
      </w:r>
    </w:p>
    <w:p w14:paraId="61543D41" w14:textId="77777777" w:rsidR="00625637" w:rsidRDefault="0087575E" w:rsidP="004A771F">
      <w:pPr>
        <w:pStyle w:val="Prrafodelista"/>
        <w:numPr>
          <w:ilvl w:val="0"/>
          <w:numId w:val="23"/>
        </w:numPr>
        <w:spacing w:after="205"/>
        <w:ind w:right="14"/>
      </w:pPr>
      <w:r>
        <w:t>Capacitación: Incluyendo a los niveles jerárquicos superiores, así como a los demás niveles, de acuerdo a la periodicidad prevista en la norma, previéndose que los temas a ser abordados sean coherentes con la envergadura de los SO y con las políticas y procedimientos que pretende ejecutar, así como la eventual actualización de las normas, guías y otros documentos de referencia en materia de LA/FT.</w:t>
      </w:r>
    </w:p>
    <w:p w14:paraId="77BEDC66" w14:textId="77777777" w:rsidR="00625637" w:rsidRDefault="0087575E" w:rsidP="004A771F">
      <w:pPr>
        <w:pStyle w:val="Prrafodelista"/>
        <w:numPr>
          <w:ilvl w:val="0"/>
          <w:numId w:val="23"/>
        </w:numPr>
        <w:spacing w:after="247"/>
        <w:ind w:right="14"/>
      </w:pPr>
      <w:r>
        <w:t>Auditorías Internas/Externas: Las que deberán estar debidamente focalizadas en la revisión y evaluación de la ejecución de las políticas y procedimientos en materia de prevención de LA/FT, que tenga por objeto de la detección oportuna de las deficiencias eventuales y la consecuente aplicación de medidas correctivas para mitigarlas.</w:t>
      </w:r>
    </w:p>
    <w:p w14:paraId="701A2392" w14:textId="1F9908C0" w:rsidR="00625637" w:rsidRDefault="0087575E" w:rsidP="004A771F">
      <w:pPr>
        <w:pStyle w:val="Prrafodelista"/>
        <w:numPr>
          <w:ilvl w:val="0"/>
          <w:numId w:val="23"/>
        </w:numPr>
        <w:ind w:right="14"/>
      </w:pPr>
      <w:r>
        <w:t>Controles Inte</w:t>
      </w:r>
      <w:r w:rsidR="004A771F">
        <w:t>rn</w:t>
      </w:r>
      <w:r>
        <w:t>os: Los que se podrán implementar de acuerdo a la naturaleza y forma,8 a modo de ejemplo de manera bimestral, trimestral o semestral, para determinar si el impacto de los riesgos definidos en el sistema y su probabilidad siguen siendo los identificados, y si existen nuevos riesgos que no han sido detectados e incluidos.</w:t>
      </w:r>
    </w:p>
    <w:p w14:paraId="35D3953F" w14:textId="77777777" w:rsidR="00625637" w:rsidRDefault="0087575E">
      <w:pPr>
        <w:pStyle w:val="Ttulo5"/>
        <w:spacing w:after="166"/>
        <w:ind w:left="33"/>
      </w:pPr>
      <w:r>
        <w:rPr>
          <w:sz w:val="30"/>
        </w:rPr>
        <w:t>1.2.2. Implementación</w:t>
      </w:r>
    </w:p>
    <w:p w14:paraId="11115972" w14:textId="77777777" w:rsidR="00625637" w:rsidRDefault="0087575E">
      <w:pPr>
        <w:spacing w:after="149"/>
        <w:ind w:left="4" w:right="14"/>
      </w:pPr>
      <w:r>
        <w:t>Esta fase consiste en la puesta en marcha de la Metodología diseñada, a efectos de que el SO tenga conocimiento del grado de exposición al riesgo que posee, con base a las calificaciones otorgadas a cada uno de los indicadores definidos. Para la adecuada mitigación de los riesgos, se requiere también la verificación de los resultados obtenidos mediante su desarrollo.</w:t>
      </w:r>
    </w:p>
    <w:p w14:paraId="61A12FCC" w14:textId="77777777" w:rsidR="00625637" w:rsidRDefault="0087575E">
      <w:pPr>
        <w:pStyle w:val="Ttulo6"/>
        <w:spacing w:after="227"/>
        <w:ind w:left="-5"/>
      </w:pPr>
      <w:r>
        <w:t>1.2.3. Valoración</w:t>
      </w:r>
    </w:p>
    <w:p w14:paraId="7FB38696" w14:textId="77777777" w:rsidR="00625637" w:rsidRDefault="0087575E">
      <w:pPr>
        <w:spacing w:after="639"/>
        <w:ind w:left="4" w:right="14"/>
      </w:pPr>
      <w:r>
        <w:t>Esta fase implica la pertinente revisión respecto a la eficiencia y eficacia del sistema preventivo diseñado, y las necesidades de eventuales correcciones que deban realizarse</w:t>
      </w:r>
    </w:p>
    <w:p w14:paraId="253F34C3" w14:textId="77777777" w:rsidR="00625637" w:rsidRDefault="0087575E">
      <w:pPr>
        <w:spacing w:after="258" w:line="259" w:lineRule="auto"/>
        <w:ind w:left="0" w:firstLine="0"/>
        <w:jc w:val="left"/>
      </w:pPr>
      <w:r>
        <w:rPr>
          <w:noProof/>
          <w:sz w:val="22"/>
        </w:rPr>
        <mc:AlternateContent>
          <mc:Choice Requires="wpg">
            <w:drawing>
              <wp:inline distT="0" distB="0" distL="0" distR="0" wp14:anchorId="45960290" wp14:editId="26ED247B">
                <wp:extent cx="1828063" cy="12185"/>
                <wp:effectExtent l="0" t="0" r="0" b="0"/>
                <wp:docPr id="96414" name="Group 96414"/>
                <wp:cNvGraphicFramePr/>
                <a:graphic xmlns:a="http://schemas.openxmlformats.org/drawingml/2006/main">
                  <a:graphicData uri="http://schemas.microsoft.com/office/word/2010/wordprocessingGroup">
                    <wpg:wgp>
                      <wpg:cNvGrpSpPr/>
                      <wpg:grpSpPr>
                        <a:xfrm>
                          <a:off x="0" y="0"/>
                          <a:ext cx="1828063" cy="12185"/>
                          <a:chOff x="0" y="0"/>
                          <a:chExt cx="1828063" cy="12185"/>
                        </a:xfrm>
                      </wpg:grpSpPr>
                      <wps:wsp>
                        <wps:cNvPr id="96413" name="Shape 96413"/>
                        <wps:cNvSpPr/>
                        <wps:spPr>
                          <a:xfrm>
                            <a:off x="0" y="0"/>
                            <a:ext cx="1828063" cy="12185"/>
                          </a:xfrm>
                          <a:custGeom>
                            <a:avLst/>
                            <a:gdLst/>
                            <a:ahLst/>
                            <a:cxnLst/>
                            <a:rect l="0" t="0" r="0" b="0"/>
                            <a:pathLst>
                              <a:path w="1828063" h="12185">
                                <a:moveTo>
                                  <a:pt x="0" y="6092"/>
                                </a:moveTo>
                                <a:lnTo>
                                  <a:pt x="1828063" y="6092"/>
                                </a:lnTo>
                              </a:path>
                            </a:pathLst>
                          </a:custGeom>
                          <a:ln w="12185"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xmlns:a="http://schemas.openxmlformats.org/drawingml/2006/main">
            <w:pict>
              <v:group id="Group 96414" style="width:143.942pt;height:0.959412pt;mso-position-horizontal-relative:char;mso-position-vertical-relative:line" coordsize="18280,121">
                <v:shape id="Shape 96413" style="position:absolute;width:18280;height:121;left:0;top:0;" coordsize="1828063,12185" path="m0,6092l1828063,6092">
                  <v:stroke weight="0.959412pt" endcap="flat" joinstyle="miter" miterlimit="1" on="true" color="#000000"/>
                  <v:fill on="false" color="#000000"/>
                </v:shape>
              </v:group>
            </w:pict>
          </mc:Fallback>
        </mc:AlternateContent>
      </w:r>
    </w:p>
    <w:p w14:paraId="04D7D185" w14:textId="77777777" w:rsidR="00625637" w:rsidRDefault="0087575E">
      <w:pPr>
        <w:spacing w:after="176" w:line="216" w:lineRule="auto"/>
        <w:ind w:left="571" w:right="4" w:hanging="423"/>
      </w:pPr>
      <w:r>
        <w:rPr>
          <w:sz w:val="20"/>
        </w:rPr>
        <w:lastRenderedPageBreak/>
        <w:t xml:space="preserve">8 </w:t>
      </w:r>
      <w:proofErr w:type="gramStart"/>
      <w:r>
        <w:rPr>
          <w:sz w:val="20"/>
        </w:rPr>
        <w:t>En</w:t>
      </w:r>
      <w:proofErr w:type="gramEnd"/>
      <w:r>
        <w:rPr>
          <w:sz w:val="20"/>
        </w:rPr>
        <w:t xml:space="preserve"> cuanto a la naturaleza del riesgo, se podrían implementar procedimientos de control preventivos (sobre la causa del riesgo y su agente generador, con el fin de disminuir la posibilidad de que se materialice). Respecto a su forma, podrían ser controles manuales (ejecutadas por personas responsables de un proceso dentro de la entidad) o controles automatizados (aplicados por medio de un soporte diseñado para detectar, prevenir, corregir errores, sin que interfiera el factor humano en el proceso).</w:t>
      </w:r>
    </w:p>
    <w:p w14:paraId="668D8307" w14:textId="77777777" w:rsidR="00625637" w:rsidRDefault="0087575E">
      <w:pPr>
        <w:spacing w:after="138" w:line="330" w:lineRule="auto"/>
        <w:ind w:left="14" w:right="14" w:firstLine="0"/>
      </w:pPr>
      <w:r>
        <w:rPr>
          <w:sz w:val="28"/>
        </w:rPr>
        <w:t>con base en las experiencias recogidas, la dinámica y evolución natural de las actividades de los SO.</w:t>
      </w:r>
    </w:p>
    <w:p w14:paraId="5DE887B8" w14:textId="77777777" w:rsidR="00625637" w:rsidRDefault="0087575E">
      <w:pPr>
        <w:spacing w:after="313"/>
        <w:ind w:left="4" w:right="14"/>
      </w:pPr>
      <w:r>
        <w:t>A tales efectos resulta recomendable la realización de un seguimiento por cada factor e indicador, en relación a los criterios, medidas, procedimientos y políticas aplicados, que propicien la detección temprana de la materialización de los riesgos, o la corrección de las deficiencias en los procesos de su administración.</w:t>
      </w:r>
    </w:p>
    <w:p w14:paraId="3CAB986D" w14:textId="77777777" w:rsidR="00625637" w:rsidRDefault="0087575E" w:rsidP="004A771F">
      <w:pPr>
        <w:spacing w:after="327" w:line="216" w:lineRule="auto"/>
        <w:ind w:left="39" w:right="43" w:hanging="10"/>
        <w:jc w:val="left"/>
      </w:pPr>
      <w:r>
        <w:rPr>
          <w:sz w:val="36"/>
        </w:rPr>
        <w:t>1.3. Cuadro que expone la Metodología de Autoevaluación de Riesgos</w:t>
      </w:r>
    </w:p>
    <w:p w14:paraId="1E036DBC" w14:textId="77777777" w:rsidR="00625637" w:rsidRDefault="0087575E">
      <w:pPr>
        <w:spacing w:after="101" w:line="259" w:lineRule="auto"/>
        <w:ind w:left="1737" w:hanging="10"/>
        <w:jc w:val="left"/>
      </w:pPr>
      <w:r>
        <w:rPr>
          <w:sz w:val="16"/>
        </w:rPr>
        <w:t>Medición</w:t>
      </w:r>
    </w:p>
    <w:p w14:paraId="04957A80" w14:textId="77777777" w:rsidR="00625637" w:rsidRDefault="0087575E">
      <w:pPr>
        <w:tabs>
          <w:tab w:val="center" w:pos="892"/>
          <w:tab w:val="center" w:pos="3215"/>
        </w:tabs>
        <w:spacing w:after="101" w:line="259" w:lineRule="auto"/>
        <w:ind w:left="0" w:firstLine="0"/>
        <w:jc w:val="left"/>
      </w:pPr>
      <w:r>
        <w:rPr>
          <w:sz w:val="16"/>
        </w:rPr>
        <w:tab/>
        <w:t>Identificación</w:t>
      </w:r>
      <w:r>
        <w:rPr>
          <w:sz w:val="16"/>
        </w:rPr>
        <w:tab/>
        <w:t>Mitigantes</w:t>
      </w:r>
    </w:p>
    <w:p w14:paraId="758932A0" w14:textId="77777777" w:rsidR="00625637" w:rsidRDefault="0087575E">
      <w:pPr>
        <w:tabs>
          <w:tab w:val="center" w:pos="2244"/>
          <w:tab w:val="center" w:pos="4659"/>
          <w:tab w:val="center" w:pos="7264"/>
        </w:tabs>
        <w:spacing w:after="1343" w:line="259" w:lineRule="auto"/>
        <w:ind w:left="0" w:firstLine="0"/>
        <w:jc w:val="left"/>
      </w:pPr>
      <w:r>
        <w:rPr>
          <w:sz w:val="16"/>
        </w:rPr>
        <w:tab/>
      </w:r>
      <w:r>
        <w:rPr>
          <w:noProof/>
        </w:rPr>
        <w:drawing>
          <wp:inline distT="0" distB="0" distL="0" distR="0" wp14:anchorId="729D582D" wp14:editId="194C99DB">
            <wp:extent cx="1858530" cy="773751"/>
            <wp:effectExtent l="0" t="0" r="0" b="0"/>
            <wp:docPr id="96415" name="Picture 96415"/>
            <wp:cNvGraphicFramePr/>
            <a:graphic xmlns:a="http://schemas.openxmlformats.org/drawingml/2006/main">
              <a:graphicData uri="http://schemas.openxmlformats.org/drawingml/2006/picture">
                <pic:pic xmlns:pic="http://schemas.openxmlformats.org/drawingml/2006/picture">
                  <pic:nvPicPr>
                    <pic:cNvPr id="96415" name="Picture 96415"/>
                    <pic:cNvPicPr/>
                  </pic:nvPicPr>
                  <pic:blipFill>
                    <a:blip r:embed="rId16"/>
                    <a:stretch>
                      <a:fillRect/>
                    </a:stretch>
                  </pic:blipFill>
                  <pic:spPr>
                    <a:xfrm>
                      <a:off x="0" y="0"/>
                      <a:ext cx="1858530" cy="773751"/>
                    </a:xfrm>
                    <a:prstGeom prst="rect">
                      <a:avLst/>
                    </a:prstGeom>
                  </pic:spPr>
                </pic:pic>
              </a:graphicData>
            </a:graphic>
          </wp:inline>
        </w:drawing>
      </w:r>
      <w:r>
        <w:rPr>
          <w:sz w:val="16"/>
        </w:rPr>
        <w:tab/>
        <w:t>ll. IMPLEMENTACIÓN</w:t>
      </w:r>
      <w:r>
        <w:rPr>
          <w:sz w:val="16"/>
        </w:rPr>
        <w:tab/>
      </w:r>
      <w:r>
        <w:rPr>
          <w:noProof/>
          <w:sz w:val="22"/>
        </w:rPr>
        <mc:AlternateContent>
          <mc:Choice Requires="wpg">
            <w:drawing>
              <wp:inline distT="0" distB="0" distL="0" distR="0" wp14:anchorId="2AB7226E" wp14:editId="4EB08E75">
                <wp:extent cx="2023056" cy="536142"/>
                <wp:effectExtent l="0" t="0" r="0" b="0"/>
                <wp:docPr id="93961" name="Group 93961"/>
                <wp:cNvGraphicFramePr/>
                <a:graphic xmlns:a="http://schemas.openxmlformats.org/drawingml/2006/main">
                  <a:graphicData uri="http://schemas.microsoft.com/office/word/2010/wordprocessingGroup">
                    <wpg:wgp>
                      <wpg:cNvGrpSpPr/>
                      <wpg:grpSpPr>
                        <a:xfrm>
                          <a:off x="0" y="0"/>
                          <a:ext cx="2023056" cy="536142"/>
                          <a:chOff x="0" y="0"/>
                          <a:chExt cx="2023056" cy="536142"/>
                        </a:xfrm>
                      </wpg:grpSpPr>
                      <pic:pic xmlns:pic="http://schemas.openxmlformats.org/drawingml/2006/picture">
                        <pic:nvPicPr>
                          <pic:cNvPr id="96417" name="Picture 96417"/>
                          <pic:cNvPicPr/>
                        </pic:nvPicPr>
                        <pic:blipFill>
                          <a:blip r:embed="rId17"/>
                          <a:stretch>
                            <a:fillRect/>
                          </a:stretch>
                        </pic:blipFill>
                        <pic:spPr>
                          <a:xfrm>
                            <a:off x="0" y="0"/>
                            <a:ext cx="1974307" cy="536142"/>
                          </a:xfrm>
                          <a:prstGeom prst="rect">
                            <a:avLst/>
                          </a:prstGeom>
                        </pic:spPr>
                      </pic:pic>
                      <wps:wsp>
                        <wps:cNvPr id="32326" name="Rectangle 32326"/>
                        <wps:cNvSpPr/>
                        <wps:spPr>
                          <a:xfrm>
                            <a:off x="1450263" y="426477"/>
                            <a:ext cx="761815" cy="113443"/>
                          </a:xfrm>
                          <a:prstGeom prst="rect">
                            <a:avLst/>
                          </a:prstGeom>
                          <a:ln>
                            <a:noFill/>
                          </a:ln>
                        </wps:spPr>
                        <wps:txbx>
                          <w:txbxContent>
                            <w:p w14:paraId="474C4D10" w14:textId="77777777" w:rsidR="00625637" w:rsidRDefault="0087575E">
                              <w:pPr>
                                <w:spacing w:after="160" w:line="259" w:lineRule="auto"/>
                                <w:ind w:left="0" w:firstLine="0"/>
                                <w:jc w:val="left"/>
                              </w:pPr>
                              <w:r>
                                <w:rPr>
                                  <w:sz w:val="18"/>
                                </w:rPr>
                                <w:t>VALORACIÓN</w:t>
                              </w:r>
                            </w:p>
                          </w:txbxContent>
                        </wps:txbx>
                        <wps:bodyPr horzOverflow="overflow" vert="horz" lIns="0" tIns="0" rIns="0" bIns="0" rtlCol="0">
                          <a:noAutofit/>
                        </wps:bodyPr>
                      </wps:wsp>
                    </wpg:wgp>
                  </a:graphicData>
                </a:graphic>
              </wp:inline>
            </w:drawing>
          </mc:Choice>
          <mc:Fallback>
            <w:pict>
              <v:group w14:anchorId="2AB7226E" id="Group 93961" o:spid="_x0000_s1026" style="width:159.3pt;height:42.2pt;mso-position-horizontal-relative:char;mso-position-vertical-relative:line" coordsize="20230,5361"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">
                <v:shape id="Picture 96417" o:spid="_x0000_s1027" type="#_x0000_t75" style="position:absolute;width:19743;height:53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">
                  <v:imagedata r:id="rId18" o:title=""/>
                </v:shape>
                <v:rect id="Rectangle 32326" o:spid="_x0000_s1028" style="position:absolute;left:14502;top:4264;width:7618;height:11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" filled="f" stroked="f">
                  <v:textbox inset="0,0,0,0">
                    <w:txbxContent>
                      <w:p w14:paraId="474C4D10" w14:textId="77777777" w:rsidR="00625637" w:rsidRDefault="0087575E">
                        <w:pPr>
                          <w:spacing w:after="160" w:line="259" w:lineRule="auto"/>
                          <w:ind w:left="0" w:firstLine="0"/>
                          <w:jc w:val="left"/>
                        </w:pPr>
                        <w:r>
                          <w:rPr>
                            <w:sz w:val="18"/>
                          </w:rPr>
                          <w:t>VALORACIÓN</w:t>
                        </w:r>
                      </w:p>
                    </w:txbxContent>
                  </v:textbox>
                </v:rect>
                <w10:anchorlock/>
              </v:group>
            </w:pict>
          </mc:Fallback>
        </mc:AlternateContent>
      </w:r>
    </w:p>
    <w:p w14:paraId="2B6811D2" w14:textId="77777777" w:rsidR="00625637" w:rsidRDefault="0087575E">
      <w:pPr>
        <w:pStyle w:val="Ttulo2"/>
        <w:ind w:left="24"/>
      </w:pPr>
      <w:bookmarkStart w:id="11" w:name="_Toc182224867"/>
      <w:r>
        <w:t>2. SISTEMA DE CONTROL Y ADMINISTRACIÓN DE RIESGOS</w:t>
      </w:r>
      <w:bookmarkEnd w:id="11"/>
    </w:p>
    <w:p w14:paraId="52807C21" w14:textId="77777777" w:rsidR="00625637" w:rsidRDefault="0087575E">
      <w:pPr>
        <w:spacing w:after="42"/>
        <w:ind w:left="4" w:right="14"/>
      </w:pPr>
      <w:r>
        <w:t>De manera a prevenir e impedir ser utilizados como medio o canal para la realización de hechos que impliquen LA/FT o sus hechos punibles precedentes, es importante que los SO desarrollen e implementen un Sistema de Control y Administración de Riesgos de LA/FT que sea compatible con la empresa o negocio, y sea conteste con su estructura y sus procesos.</w:t>
      </w:r>
    </w:p>
    <w:p w14:paraId="2626EBD6" w14:textId="77777777" w:rsidR="00625637" w:rsidRDefault="0087575E">
      <w:pPr>
        <w:ind w:left="4" w:right="14"/>
      </w:pPr>
      <w:r>
        <w:t>Las diversas normas de la SEPRELAD señalan como elementos básicos para componer un Sistema de Control y Administración de Riesgos eficiente a los siguientes:</w:t>
      </w:r>
    </w:p>
    <w:p w14:paraId="3E322F28" w14:textId="77777777" w:rsidR="00625637" w:rsidRDefault="0087575E" w:rsidP="004A771F">
      <w:pPr>
        <w:pStyle w:val="Prrafodelista"/>
        <w:numPr>
          <w:ilvl w:val="0"/>
          <w:numId w:val="24"/>
        </w:numPr>
        <w:spacing w:after="234"/>
        <w:ind w:right="14"/>
      </w:pPr>
      <w:r>
        <w:t xml:space="preserve">Código de Ética y Conducta; que constituyen pautas de comportamiento que deben seguir las personas vinculadas directa o indirectamente al SO. Estas pautas se traducen en parámetros que deben ser observados por los directivos, empleados y terceros asociados, complementando las demás obligaciones que se encuentran en los reglamentos internos, contratos individuales y otros procedimientos que dicte el </w:t>
      </w:r>
      <w:proofErr w:type="spellStart"/>
      <w:r>
        <w:t>so</w:t>
      </w:r>
      <w:proofErr w:type="spellEnd"/>
      <w:r>
        <w:t>.</w:t>
      </w:r>
    </w:p>
    <w:p w14:paraId="2647F723" w14:textId="500D53C3" w:rsidR="00625637" w:rsidRDefault="0087575E" w:rsidP="004A771F">
      <w:pPr>
        <w:pStyle w:val="Prrafodelista"/>
        <w:numPr>
          <w:ilvl w:val="0"/>
          <w:numId w:val="24"/>
        </w:numPr>
        <w:spacing w:after="183"/>
        <w:ind w:right="14"/>
      </w:pPr>
      <w:r>
        <w:t>Control Inte</w:t>
      </w:r>
      <w:r w:rsidR="004A771F">
        <w:t>rn</w:t>
      </w:r>
      <w:r>
        <w:t>o; cuyo objetivo primordial es determinar de manera primaria la efectividad en la administración de los riesgos del SO. Comprende un plan de verificación del conjunto de métodos y procedimientos aplicados, que aseguran que los controles implementados son apropiados y suficientes para prevenir el LA/FT</w:t>
      </w:r>
    </w:p>
    <w:p w14:paraId="31E0B8E1" w14:textId="77777777" w:rsidR="00625637" w:rsidRDefault="0087575E" w:rsidP="004A771F">
      <w:pPr>
        <w:pStyle w:val="Prrafodelista"/>
        <w:numPr>
          <w:ilvl w:val="0"/>
          <w:numId w:val="24"/>
        </w:numPr>
        <w:spacing w:after="595"/>
        <w:ind w:right="14"/>
      </w:pPr>
      <w:r>
        <w:lastRenderedPageBreak/>
        <w:t>Auditoría Externa; ejecutada por un profesional ajeno e independiente del SO, encargado de evaluar los controles y procedimientos internos y verificar que las políticas y procedimientos aplicados cumplen con las normativas de prevención de</w:t>
      </w:r>
    </w:p>
    <w:p w14:paraId="790E44B1" w14:textId="77777777" w:rsidR="004A771F" w:rsidRDefault="0087575E" w:rsidP="004A771F">
      <w:pPr>
        <w:pStyle w:val="Prrafodelista"/>
        <w:numPr>
          <w:ilvl w:val="0"/>
          <w:numId w:val="24"/>
        </w:numPr>
        <w:spacing w:after="172"/>
        <w:ind w:right="14"/>
      </w:pPr>
      <w:r>
        <w:t>Comité de Prevención; constituido como un órgano de apoyo al Oficial de Cumplimiento dentro de la estructura del SO.</w:t>
      </w:r>
    </w:p>
    <w:p w14:paraId="3E913C4A" w14:textId="5CE5DAF8" w:rsidR="00625637" w:rsidRDefault="0087575E" w:rsidP="004A771F">
      <w:pPr>
        <w:pStyle w:val="Prrafodelista"/>
        <w:numPr>
          <w:ilvl w:val="0"/>
          <w:numId w:val="24"/>
        </w:numPr>
        <w:spacing w:after="172"/>
        <w:ind w:right="14"/>
      </w:pPr>
      <w:r>
        <w:t>Oficial de Cumplimiento; encargado de velar por el funcionamiento efectivo, eficiente y oportuno del Sistema de Control y Administración de Riesgos, coordinando el desarrollo de los programas internos destinados a su observancia.10</w:t>
      </w:r>
    </w:p>
    <w:p w14:paraId="64C2C530" w14:textId="77777777" w:rsidR="00625637" w:rsidRDefault="0087575E">
      <w:pPr>
        <w:spacing w:after="234"/>
        <w:ind w:left="4" w:right="14"/>
      </w:pPr>
      <w:r>
        <w:t>La implementación de cada uno de los elementos se realiza atendiendo a la organización del SO, teniendo en cuenta si es persona física o jurídica.</w:t>
      </w:r>
    </w:p>
    <w:p w14:paraId="1F13A844" w14:textId="77777777" w:rsidR="00625637" w:rsidRDefault="0087575E">
      <w:pPr>
        <w:pStyle w:val="Ttulo4"/>
        <w:spacing w:after="65" w:line="259" w:lineRule="auto"/>
        <w:ind w:left="24" w:right="0"/>
        <w:jc w:val="left"/>
      </w:pPr>
      <w:r>
        <w:t>3. DEBIDA DILIGENCIA DEL CONOCIMIENTO DEL CLIENTE</w:t>
      </w:r>
    </w:p>
    <w:p w14:paraId="502B0CC6" w14:textId="77777777" w:rsidR="00625637" w:rsidRDefault="0087575E">
      <w:pPr>
        <w:ind w:left="4" w:right="14"/>
      </w:pPr>
      <w:r>
        <w:t xml:space="preserve">La Debida Diligencia de Conocimiento del Cliente (DDC) se establece a través de un conjunto de </w:t>
      </w:r>
      <w:r w:rsidRPr="008F4B22">
        <w:rPr>
          <w:highlight w:val="yellow"/>
        </w:rPr>
        <w:t xml:space="preserve">normas, </w:t>
      </w:r>
      <w:r w:rsidRPr="006E63DF">
        <w:rPr>
          <w:color w:val="FF0000"/>
          <w:highlight w:val="yellow"/>
          <w:u w:val="single"/>
        </w:rPr>
        <w:t>medidas</w:t>
      </w:r>
      <w:r w:rsidRPr="006E63DF">
        <w:rPr>
          <w:color w:val="FF0000"/>
          <w:highlight w:val="yellow"/>
        </w:rPr>
        <w:t xml:space="preserve"> </w:t>
      </w:r>
      <w:r w:rsidRPr="008F4B22">
        <w:rPr>
          <w:highlight w:val="yellow"/>
        </w:rPr>
        <w:t>y procedimientos</w:t>
      </w:r>
      <w:r>
        <w:t xml:space="preserve"> tendientes a obtener la información que permita conocer la identidad de un cliente o su beneficiario final, </w:t>
      </w:r>
      <w:r w:rsidRPr="008F4B22">
        <w:rPr>
          <w:highlight w:val="yellow"/>
        </w:rPr>
        <w:t>establecer su perfil transaccional y verificar que sus operaciones sean compatibles con dicho perfil.</w:t>
      </w:r>
    </w:p>
    <w:p w14:paraId="1E95DA21" w14:textId="77777777" w:rsidR="00625637" w:rsidRDefault="0087575E">
      <w:pPr>
        <w:spacing w:after="69"/>
        <w:ind w:left="4" w:right="14"/>
      </w:pPr>
      <w:r>
        <w:t xml:space="preserve">Los criterios de DDC serán aplicados a los clientes que actúen en carácter particular, como personas físicas, o como mandantes o representantes de personas y estructuras jurídicas. Los regímenes de DDC son implementados por los SO en virtud a la </w:t>
      </w:r>
      <w:r w:rsidRPr="006E63DF">
        <w:rPr>
          <w:highlight w:val="yellow"/>
        </w:rPr>
        <w:t>identificación</w:t>
      </w:r>
      <w:r>
        <w:t xml:space="preserve">, </w:t>
      </w:r>
      <w:r w:rsidRPr="006E63DF">
        <w:rPr>
          <w:highlight w:val="yellow"/>
        </w:rPr>
        <w:t>evaluación continua y entendimiento</w:t>
      </w:r>
      <w:r>
        <w:t xml:space="preserve"> de los riesgos de lavado de activos/financiamiento del terrorismo a los que se encuentran expuestos, a fin de administrarlos y mitigarlos.</w:t>
      </w:r>
    </w:p>
    <w:p w14:paraId="75DDE16D" w14:textId="77777777" w:rsidR="00625637" w:rsidRDefault="0087575E">
      <w:pPr>
        <w:spacing w:after="690"/>
        <w:ind w:left="4" w:right="14"/>
      </w:pPr>
      <w:r w:rsidRPr="00B0322A">
        <w:rPr>
          <w:highlight w:val="yellow"/>
        </w:rPr>
        <w:t>El régimen a ser implementado será determinado por la calificación de riesgos de LA/FT del cliente, en base a los parámetros identificados, los cuales permitirán un mayor control,</w:t>
      </w:r>
    </w:p>
    <w:p w14:paraId="5C1E10B3" w14:textId="77777777" w:rsidR="00625637" w:rsidRDefault="0087575E">
      <w:pPr>
        <w:spacing w:after="268" w:line="259" w:lineRule="auto"/>
        <w:ind w:left="0" w:firstLine="0"/>
        <w:jc w:val="left"/>
      </w:pPr>
      <w:r>
        <w:rPr>
          <w:noProof/>
          <w:sz w:val="22"/>
        </w:rPr>
        <mc:AlternateContent>
          <mc:Choice Requires="wpg">
            <w:drawing>
              <wp:inline distT="0" distB="0" distL="0" distR="0" wp14:anchorId="6655F6B1" wp14:editId="0AE5DC7D">
                <wp:extent cx="1828063" cy="12185"/>
                <wp:effectExtent l="0" t="0" r="0" b="0"/>
                <wp:docPr id="96419" name="Group 96419"/>
                <wp:cNvGraphicFramePr/>
                <a:graphic xmlns:a="http://schemas.openxmlformats.org/drawingml/2006/main">
                  <a:graphicData uri="http://schemas.microsoft.com/office/word/2010/wordprocessingGroup">
                    <wpg:wgp>
                      <wpg:cNvGrpSpPr/>
                      <wpg:grpSpPr>
                        <a:xfrm>
                          <a:off x="0" y="0"/>
                          <a:ext cx="1828063" cy="12185"/>
                          <a:chOff x="0" y="0"/>
                          <a:chExt cx="1828063" cy="12185"/>
                        </a:xfrm>
                      </wpg:grpSpPr>
                      <wps:wsp>
                        <wps:cNvPr id="96418" name="Shape 96418"/>
                        <wps:cNvSpPr/>
                        <wps:spPr>
                          <a:xfrm>
                            <a:off x="0" y="0"/>
                            <a:ext cx="1828063" cy="12185"/>
                          </a:xfrm>
                          <a:custGeom>
                            <a:avLst/>
                            <a:gdLst/>
                            <a:ahLst/>
                            <a:cxnLst/>
                            <a:rect l="0" t="0" r="0" b="0"/>
                            <a:pathLst>
                              <a:path w="1828063" h="12185">
                                <a:moveTo>
                                  <a:pt x="0" y="6093"/>
                                </a:moveTo>
                                <a:lnTo>
                                  <a:pt x="1828063" y="6093"/>
                                </a:lnTo>
                              </a:path>
                            </a:pathLst>
                          </a:custGeom>
                          <a:ln w="12185"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xmlns:a="http://schemas.openxmlformats.org/drawingml/2006/main">
            <w:pict>
              <v:group id="Group 96419" style="width:143.942pt;height:0.959473pt;mso-position-horizontal-relative:char;mso-position-vertical-relative:line" coordsize="18280,121">
                <v:shape id="Shape 96418" style="position:absolute;width:18280;height:121;left:0;top:0;" coordsize="1828063,12185" path="m0,6093l1828063,6093">
                  <v:stroke weight="0.959473pt" endcap="flat" joinstyle="miter" miterlimit="1" on="true" color="#000000"/>
                  <v:fill on="false" color="#000000"/>
                </v:shape>
              </v:group>
            </w:pict>
          </mc:Fallback>
        </mc:AlternateContent>
      </w:r>
    </w:p>
    <w:p w14:paraId="087397D8" w14:textId="77777777" w:rsidR="00625637" w:rsidRDefault="0087575E">
      <w:pPr>
        <w:numPr>
          <w:ilvl w:val="0"/>
          <w:numId w:val="10"/>
        </w:numPr>
        <w:spacing w:after="176" w:line="216" w:lineRule="auto"/>
        <w:ind w:right="4" w:hanging="423"/>
      </w:pPr>
      <w:r>
        <w:rPr>
          <w:sz w:val="20"/>
        </w:rPr>
        <w:t>De acuerdo a las directrices otorgadas por la SEPRELAD, el profesional, o en su caso la firma contratada para la realización de la Auditoría Externa deberá encontrarse inscripto en el Registro de Auditores Externos Especializados en prevención de LA/FT.</w:t>
      </w:r>
    </w:p>
    <w:p w14:paraId="5594F3C3" w14:textId="77777777" w:rsidR="00625637" w:rsidRDefault="0087575E">
      <w:pPr>
        <w:numPr>
          <w:ilvl w:val="0"/>
          <w:numId w:val="10"/>
        </w:numPr>
        <w:spacing w:after="176" w:line="216" w:lineRule="auto"/>
        <w:ind w:right="4" w:hanging="423"/>
      </w:pPr>
      <w:r>
        <w:rPr>
          <w:sz w:val="20"/>
        </w:rPr>
        <w:t>Las diversas normativas dirigidas a los SO indican que el Oficial de Cumplimiento designado debe, mínimamente, tener relación directa, pertenecer al rango jerárquico superior, gozar de autonomía e independencia en el ejercicio de sus funciones, sin tener a su cargo otras actividades que pudieren generar conflicto de intereses. Para algunos SO es requisito esencial la formación profesional, siendo necesaria también la capacitación en LA/</w:t>
      </w:r>
      <w:proofErr w:type="gramStart"/>
      <w:r>
        <w:rPr>
          <w:sz w:val="20"/>
        </w:rPr>
        <w:t>FT ,</w:t>
      </w:r>
      <w:proofErr w:type="gramEnd"/>
    </w:p>
    <w:p w14:paraId="4E5865D1" w14:textId="77777777" w:rsidR="00625637" w:rsidRDefault="0087575E">
      <w:pPr>
        <w:ind w:left="4" w:right="14"/>
      </w:pPr>
      <w:r>
        <w:t>intensidad y rigurosidad en aquellos clientes que reúnen ciertas características, así como, en contrapartida, la reducción de ellos cuando corresponda.</w:t>
      </w:r>
    </w:p>
    <w:p w14:paraId="3046E4EF" w14:textId="77777777" w:rsidR="00625637" w:rsidRDefault="0087575E">
      <w:pPr>
        <w:spacing w:after="83"/>
        <w:ind w:left="4" w:right="14"/>
      </w:pPr>
      <w:r>
        <w:t>Por ejemplo, los SO que desarrollan actividades en el sector asegurador, deberán incorporar en el análisis que compone la DDC al beneficiario de una póliza de seguro de vida como un factor para determinar si corresponde aplicar un mayor nivel de medidas.</w:t>
      </w:r>
    </w:p>
    <w:p w14:paraId="2AC96EC8" w14:textId="77777777" w:rsidR="00625637" w:rsidRDefault="0087575E">
      <w:pPr>
        <w:spacing w:after="200"/>
        <w:ind w:left="4" w:right="14"/>
      </w:pPr>
      <w:r>
        <w:t xml:space="preserve">Las categorizaciones procedimentales son aplicadas en virtud a los riesgos identificados, relativos a </w:t>
      </w:r>
      <w:r w:rsidRPr="008F4B22">
        <w:rPr>
          <w:highlight w:val="yellow"/>
        </w:rPr>
        <w:t>los tipos de clientes, países, zonas geográficas, productos y servicios utilizados, transacciones o canales de envío, entre otro</w:t>
      </w:r>
      <w:r>
        <w:t xml:space="preserve">s, pudiendo ser estos analizados de manera </w:t>
      </w:r>
      <w:r>
        <w:lastRenderedPageBreak/>
        <w:t>conjunta o por separado, aumentando o disminuyendo el riesgo potencial que representan, impactando así en el nivel apropiado de medidas de DDC. Entre los ejemplos de estas variables se encuentran:</w:t>
      </w:r>
    </w:p>
    <w:p w14:paraId="0CABACDA" w14:textId="77777777" w:rsidR="00625637" w:rsidRPr="008F4B22" w:rsidRDefault="0087575E" w:rsidP="004A771F">
      <w:pPr>
        <w:pStyle w:val="Prrafodelista"/>
        <w:numPr>
          <w:ilvl w:val="0"/>
          <w:numId w:val="25"/>
        </w:numPr>
        <w:spacing w:after="221"/>
        <w:ind w:right="14"/>
        <w:rPr>
          <w:highlight w:val="yellow"/>
        </w:rPr>
      </w:pPr>
      <w:r w:rsidRPr="008F4B22">
        <w:rPr>
          <w:highlight w:val="yellow"/>
        </w:rPr>
        <w:t>El propósito de una cuenta o relación</w:t>
      </w:r>
    </w:p>
    <w:p w14:paraId="3112D188" w14:textId="77777777" w:rsidR="00625637" w:rsidRPr="008F4B22" w:rsidRDefault="0087575E" w:rsidP="004A771F">
      <w:pPr>
        <w:pStyle w:val="Prrafodelista"/>
        <w:numPr>
          <w:ilvl w:val="0"/>
          <w:numId w:val="25"/>
        </w:numPr>
        <w:spacing w:after="220" w:line="260" w:lineRule="auto"/>
        <w:ind w:right="14"/>
        <w:rPr>
          <w:sz w:val="24"/>
          <w:szCs w:val="20"/>
          <w:highlight w:val="yellow"/>
        </w:rPr>
      </w:pPr>
      <w:r w:rsidRPr="008F4B22">
        <w:rPr>
          <w:sz w:val="24"/>
          <w:szCs w:val="20"/>
          <w:highlight w:val="yellow"/>
        </w:rPr>
        <w:t>El nivel de activos o la dimensión de las transacciones realizadas por un cliente</w:t>
      </w:r>
    </w:p>
    <w:p w14:paraId="39FD19EF" w14:textId="77777777" w:rsidR="00625637" w:rsidRPr="008F4B22" w:rsidRDefault="0087575E" w:rsidP="004A771F">
      <w:pPr>
        <w:pStyle w:val="Prrafodelista"/>
        <w:numPr>
          <w:ilvl w:val="0"/>
          <w:numId w:val="25"/>
        </w:numPr>
        <w:spacing w:after="102"/>
        <w:ind w:right="14"/>
        <w:rPr>
          <w:highlight w:val="yellow"/>
        </w:rPr>
      </w:pPr>
      <w:r w:rsidRPr="008F4B22">
        <w:rPr>
          <w:highlight w:val="yellow"/>
        </w:rPr>
        <w:t>La regularidad o duración de la relación comercial.</w:t>
      </w:r>
    </w:p>
    <w:p w14:paraId="3DD8C343" w14:textId="77777777" w:rsidR="00625637" w:rsidRDefault="0087575E">
      <w:pPr>
        <w:spacing w:after="84"/>
        <w:ind w:left="4" w:right="14"/>
      </w:pPr>
      <w:r>
        <w:t xml:space="preserve">Los riesgos mayores implican la implementación de medidas con </w:t>
      </w:r>
      <w:r w:rsidRPr="00B0322A">
        <w:rPr>
          <w:highlight w:val="yellow"/>
        </w:rPr>
        <w:t>carácter intensificado</w:t>
      </w:r>
      <w:r>
        <w:t xml:space="preserve"> en su manejo y mitigación. </w:t>
      </w:r>
      <w:r w:rsidRPr="00B0322A">
        <w:rPr>
          <w:highlight w:val="yellow"/>
        </w:rPr>
        <w:t>Tales medidas son ejecutadas bajo criterios específicos designados por el regulador, o en consideración a aquellos determinados por el propio SO.</w:t>
      </w:r>
    </w:p>
    <w:p w14:paraId="3FC7A839" w14:textId="77777777" w:rsidR="00625637" w:rsidRPr="008F4B22" w:rsidRDefault="0087575E">
      <w:pPr>
        <w:spacing w:after="300" w:line="260" w:lineRule="auto"/>
        <w:ind w:left="14" w:right="14" w:firstLine="0"/>
        <w:rPr>
          <w:sz w:val="24"/>
          <w:szCs w:val="20"/>
        </w:rPr>
      </w:pPr>
      <w:r w:rsidRPr="008F4B22">
        <w:rPr>
          <w:sz w:val="28"/>
        </w:rPr>
        <w:t>Los riesgos menores involucran acciones o medidas con carácter simplificado. La evaluación que los determina comprende el análisis de todos los factores indicados en la norma, revisadas a priori con carácter general, para luego establecer los mitigantes de manera abreviada</w:t>
      </w:r>
      <w:r w:rsidRPr="008F4B22">
        <w:rPr>
          <w:sz w:val="24"/>
          <w:szCs w:val="20"/>
        </w:rPr>
        <w:t>.</w:t>
      </w:r>
    </w:p>
    <w:p w14:paraId="698D661A" w14:textId="77777777" w:rsidR="00625637" w:rsidRDefault="0087575E" w:rsidP="004A771F">
      <w:pPr>
        <w:pStyle w:val="Ttulo3"/>
        <w:spacing w:after="0"/>
        <w:ind w:right="38"/>
        <w:jc w:val="left"/>
      </w:pPr>
      <w:bookmarkStart w:id="12" w:name="_Toc182224868"/>
      <w:r>
        <w:rPr>
          <w:sz w:val="46"/>
        </w:rPr>
        <w:t xml:space="preserve">3.1. </w:t>
      </w:r>
      <w:r w:rsidRPr="008F4B22">
        <w:rPr>
          <w:sz w:val="44"/>
          <w:szCs w:val="20"/>
        </w:rPr>
        <w:t>Medidas de DDC aplicables a todos los clientes</w:t>
      </w:r>
      <w:bookmarkEnd w:id="12"/>
    </w:p>
    <w:p w14:paraId="7092D3A7" w14:textId="77777777" w:rsidR="00625637" w:rsidRDefault="0087575E">
      <w:pPr>
        <w:spacing w:after="138" w:line="260" w:lineRule="auto"/>
        <w:ind w:left="14" w:right="14" w:firstLine="0"/>
      </w:pPr>
      <w:r w:rsidRPr="008F4B22">
        <w:rPr>
          <w:sz w:val="28"/>
        </w:rPr>
        <w:t>Los SO, en sus procesos de DDC, en consonancia con las disposiciones establecidas en cada reglamentación emitida para el sector deberán tomar las siguientes medidas</w:t>
      </w:r>
      <w:r>
        <w:rPr>
          <w:sz w:val="28"/>
        </w:rPr>
        <w:t>:</w:t>
      </w:r>
    </w:p>
    <w:p w14:paraId="4BCE9033" w14:textId="03DC6B1D" w:rsidR="00625637" w:rsidRPr="008F4B22" w:rsidRDefault="0087575E" w:rsidP="008F4B22">
      <w:pPr>
        <w:numPr>
          <w:ilvl w:val="0"/>
          <w:numId w:val="11"/>
        </w:numPr>
        <w:spacing w:after="0"/>
        <w:ind w:right="170" w:hanging="355"/>
      </w:pPr>
      <w:r w:rsidRPr="00B0322A">
        <w:rPr>
          <w:highlight w:val="yellow"/>
        </w:rPr>
        <w:t>Identificar al cliente</w:t>
      </w:r>
      <w:r>
        <w:t xml:space="preserve"> (se trate de una persona física o jurídica o de una estructura jurídica) y verificar la identidad usando documentos, datos o información confiable y de una fuente independiente (datos de identificación). </w:t>
      </w:r>
      <w:r>
        <w:rPr>
          <w:vertAlign w:val="superscript"/>
        </w:rPr>
        <w:t>11</w:t>
      </w:r>
    </w:p>
    <w:p w14:paraId="118E49D1" w14:textId="77777777" w:rsidR="008F4B22" w:rsidRDefault="008F4B22" w:rsidP="008F4B22">
      <w:pPr>
        <w:numPr>
          <w:ilvl w:val="0"/>
          <w:numId w:val="11"/>
        </w:numPr>
        <w:ind w:right="170" w:hanging="355"/>
      </w:pPr>
      <w:r w:rsidRPr="00B0322A">
        <w:rPr>
          <w:highlight w:val="yellow"/>
        </w:rPr>
        <w:t>Verificar que una persona que dice actuar en nombre del cliente esté autorizada para hacerlo, e identificar y verificar la identidad de esa persona</w:t>
      </w:r>
      <w:r>
        <w:t>.</w:t>
      </w:r>
    </w:p>
    <w:p w14:paraId="1AB29532" w14:textId="77777777" w:rsidR="008F4B22" w:rsidRPr="00B0322A" w:rsidRDefault="008F4B22" w:rsidP="008F4B22">
      <w:pPr>
        <w:numPr>
          <w:ilvl w:val="0"/>
          <w:numId w:val="11"/>
        </w:numPr>
        <w:spacing w:after="192"/>
        <w:ind w:right="170" w:hanging="355"/>
        <w:rPr>
          <w:highlight w:val="yellow"/>
        </w:rPr>
      </w:pPr>
      <w:r w:rsidRPr="00B0322A">
        <w:rPr>
          <w:highlight w:val="yellow"/>
        </w:rPr>
        <w:t>Identificar al beneficiario final y tomar las medidas razonables para verificar a este beneficiario final usando la información pertinente o datos obtenidos mediante fuentes confiables, de tal manera que el SO esté convencido de que sabe quién es el beneficiario final.</w:t>
      </w:r>
    </w:p>
    <w:p w14:paraId="50125077" w14:textId="77777777" w:rsidR="008F4B22" w:rsidRPr="00B0322A" w:rsidRDefault="008F4B22" w:rsidP="008F4B22">
      <w:pPr>
        <w:numPr>
          <w:ilvl w:val="0"/>
          <w:numId w:val="11"/>
        </w:numPr>
        <w:spacing w:after="253"/>
        <w:ind w:right="170" w:hanging="355"/>
        <w:rPr>
          <w:highlight w:val="yellow"/>
        </w:rPr>
      </w:pPr>
      <w:r w:rsidRPr="00B0322A">
        <w:rPr>
          <w:highlight w:val="yellow"/>
        </w:rPr>
        <w:t>Entender y, según corresponda, obtener información sobre el propósito y el carácter que se pretende dar a la relación comercial.</w:t>
      </w:r>
    </w:p>
    <w:p w14:paraId="3A05F4D4" w14:textId="77777777" w:rsidR="008F4B22" w:rsidRDefault="008F4B22" w:rsidP="008F4B22">
      <w:pPr>
        <w:spacing w:after="1242"/>
        <w:ind w:left="729" w:right="170" w:firstLine="0"/>
      </w:pPr>
    </w:p>
    <w:p w14:paraId="4E7EC8F9" w14:textId="77777777" w:rsidR="00625637" w:rsidRDefault="0087575E">
      <w:pPr>
        <w:spacing w:after="176" w:line="216" w:lineRule="auto"/>
        <w:ind w:left="566" w:right="4" w:firstLine="10"/>
      </w:pPr>
      <w:r>
        <w:rPr>
          <w:sz w:val="20"/>
        </w:rPr>
        <w:t>De manera específica, cuando se establezca una relación con una persona jurídica, el Sujeto Obligado debe identificarla como tal, verificando esa identidad con las documentaciones de respaldo que resulten pertinentes, y que le permitan entender la naturaleza de la actividad del cliente y su estructura accionaria o de control.</w:t>
      </w:r>
    </w:p>
    <w:p w14:paraId="70F0C721" w14:textId="77777777" w:rsidR="00625637" w:rsidRDefault="00625637">
      <w:pPr>
        <w:sectPr w:rsidR="00625637">
          <w:headerReference w:type="even" r:id="rId19"/>
          <w:headerReference w:type="default" r:id="rId20"/>
          <w:headerReference w:type="first" r:id="rId21"/>
          <w:pgSz w:w="11899" w:h="16838"/>
          <w:pgMar w:top="1482" w:right="1132" w:bottom="729" w:left="1152" w:header="576" w:footer="720" w:gutter="0"/>
          <w:pgNumType w:start="11"/>
          <w:cols w:space="720"/>
        </w:sectPr>
      </w:pPr>
    </w:p>
    <w:p w14:paraId="5BB5A2A8" w14:textId="77777777" w:rsidR="00625637" w:rsidRDefault="0087575E" w:rsidP="004A771F">
      <w:pPr>
        <w:pStyle w:val="Ttulo4"/>
        <w:spacing w:after="0" w:line="259" w:lineRule="auto"/>
        <w:ind w:right="743"/>
        <w:jc w:val="both"/>
      </w:pPr>
      <w:r>
        <w:lastRenderedPageBreak/>
        <w:t>3.2. Regímenes de DDC</w:t>
      </w:r>
    </w:p>
    <w:p w14:paraId="622DEB82" w14:textId="77777777" w:rsidR="00625637" w:rsidRDefault="0087575E">
      <w:pPr>
        <w:spacing w:after="138" w:line="260" w:lineRule="auto"/>
        <w:ind w:left="14" w:right="14" w:firstLine="0"/>
      </w:pPr>
      <w:r>
        <w:rPr>
          <w:sz w:val="28"/>
        </w:rPr>
        <w:t>Los Sujetos Obligados deben aplicar las medidas de DDC teniendo en cuenta 3 niveles:</w:t>
      </w:r>
    </w:p>
    <w:p w14:paraId="16B0CA52" w14:textId="77777777" w:rsidR="00625637" w:rsidRDefault="0087575E">
      <w:pPr>
        <w:pStyle w:val="Ttulo5"/>
        <w:spacing w:after="162"/>
        <w:ind w:firstLine="0"/>
      </w:pPr>
      <w:r>
        <w:rPr>
          <w:sz w:val="30"/>
        </w:rPr>
        <w:t>l. General</w:t>
      </w:r>
    </w:p>
    <w:p w14:paraId="174E7B71" w14:textId="77777777" w:rsidR="00625637" w:rsidRDefault="0087575E" w:rsidP="008F4B22">
      <w:pPr>
        <w:spacing w:after="7"/>
        <w:ind w:left="4" w:right="-8"/>
      </w:pPr>
      <w:r>
        <w:t>La aplicación de un régimen de DDC con carácter general implica el desarrollo de procedimientos con carácter continuo y permanente, aplicables a las operaciones o transacciones que son desarrolladas por sus clientes.</w:t>
      </w:r>
    </w:p>
    <w:p w14:paraId="38E254C0" w14:textId="77777777" w:rsidR="00625637" w:rsidRDefault="0087575E">
      <w:pPr>
        <w:spacing w:after="223"/>
        <w:ind w:left="4" w:right="14"/>
      </w:pPr>
      <w:r>
        <w:t>Las acciones comprendidas en un régimen de tal naturaleza comprenden, de manera indicativa, entre otras, las siguientes:</w:t>
      </w:r>
    </w:p>
    <w:p w14:paraId="5DDA1427" w14:textId="77777777" w:rsidR="00625637" w:rsidRDefault="0087575E" w:rsidP="008F4B22">
      <w:pPr>
        <w:pStyle w:val="Prrafodelista"/>
        <w:numPr>
          <w:ilvl w:val="0"/>
          <w:numId w:val="28"/>
        </w:numPr>
        <w:spacing w:after="227"/>
        <w:ind w:right="-8"/>
      </w:pPr>
      <w:r>
        <w:t xml:space="preserve">La identificación del cliente y la </w:t>
      </w:r>
      <w:r w:rsidRPr="00E44591">
        <w:rPr>
          <w:highlight w:val="yellow"/>
        </w:rPr>
        <w:t>verificación de la identidad respaldada documentos</w:t>
      </w:r>
      <w:r>
        <w:t>, datos o información confiable y de una fuente independiente (datos de identificación)</w:t>
      </w:r>
    </w:p>
    <w:p w14:paraId="0BD2BCFC" w14:textId="77777777" w:rsidR="004A771F" w:rsidRDefault="0087575E" w:rsidP="008F4B22">
      <w:pPr>
        <w:pStyle w:val="Prrafodelista"/>
        <w:numPr>
          <w:ilvl w:val="0"/>
          <w:numId w:val="28"/>
        </w:numPr>
        <w:ind w:right="-8"/>
      </w:pPr>
      <w:r>
        <w:t xml:space="preserve">La determinación de los mandantes o representantes, cuando sean utilizados como ejecutores de las operaciones en nombre de quien sería el beneficiario final </w:t>
      </w:r>
    </w:p>
    <w:p w14:paraId="1244042C" w14:textId="4C13AEDF" w:rsidR="00625637" w:rsidRDefault="0087575E" w:rsidP="008F4B22">
      <w:pPr>
        <w:pStyle w:val="Prrafodelista"/>
        <w:numPr>
          <w:ilvl w:val="0"/>
          <w:numId w:val="28"/>
        </w:numPr>
        <w:ind w:right="-8"/>
      </w:pPr>
      <w:r>
        <w:t xml:space="preserve">El entendimiento del propósito y el carácter que se pretende dar a la relación </w:t>
      </w:r>
      <w:r>
        <w:rPr>
          <w:vertAlign w:val="superscript"/>
        </w:rPr>
        <w:footnoteReference w:id="7"/>
      </w:r>
    </w:p>
    <w:p w14:paraId="75F07E7E" w14:textId="26319000" w:rsidR="00253DFB" w:rsidRDefault="0087575E" w:rsidP="00253DFB">
      <w:pPr>
        <w:pStyle w:val="Prrafodelista"/>
        <w:numPr>
          <w:ilvl w:val="0"/>
          <w:numId w:val="28"/>
        </w:numPr>
        <w:ind w:right="14"/>
      </w:pPr>
      <w:r>
        <w:t>El monitoreo relativo a las operaciones y las condiciones bajo las cuales se ha establecido la relación con el cliente</w:t>
      </w:r>
    </w:p>
    <w:p w14:paraId="28286051" w14:textId="77777777" w:rsidR="00253DFB" w:rsidRDefault="0087575E" w:rsidP="00253DFB">
      <w:pPr>
        <w:pStyle w:val="Prrafodelista"/>
        <w:numPr>
          <w:ilvl w:val="0"/>
          <w:numId w:val="28"/>
        </w:numPr>
        <w:ind w:right="14"/>
      </w:pPr>
      <w:r>
        <w:t>La actualización de los datos de manera periódica, conforme los plazos determinados por el SO en función a las características del cliente, además de los factores de riesgo asociados al mismo</w:t>
      </w:r>
    </w:p>
    <w:p w14:paraId="14AFCFF7" w14:textId="51759D82" w:rsidR="00625637" w:rsidRDefault="0087575E" w:rsidP="00253DFB">
      <w:pPr>
        <w:pStyle w:val="Prrafodelista"/>
        <w:numPr>
          <w:ilvl w:val="0"/>
          <w:numId w:val="28"/>
        </w:numPr>
        <w:ind w:right="14"/>
      </w:pPr>
      <w:r>
        <w:t>El respaldo documental como sustento de las transacciones efectuadas</w:t>
      </w:r>
    </w:p>
    <w:p w14:paraId="59CB922C" w14:textId="049D8BCF" w:rsidR="00625637" w:rsidRDefault="0087575E" w:rsidP="00253DFB">
      <w:pPr>
        <w:pStyle w:val="Prrafodelista"/>
        <w:numPr>
          <w:ilvl w:val="0"/>
          <w:numId w:val="28"/>
        </w:numPr>
        <w:ind w:right="14"/>
      </w:pPr>
      <w:r>
        <w:t>La verificación de las declaraciones relativas al origen de los fondos, actividad económica y otros criterios relativos a la identificación.</w:t>
      </w:r>
    </w:p>
    <w:p w14:paraId="71B38BA1" w14:textId="77777777" w:rsidR="00625637" w:rsidRDefault="0087575E">
      <w:pPr>
        <w:spacing w:after="182" w:line="259" w:lineRule="auto"/>
        <w:ind w:left="5" w:right="14" w:hanging="10"/>
      </w:pPr>
      <w:r>
        <w:rPr>
          <w:sz w:val="28"/>
        </w:rPr>
        <w:t>ll. Simplificado</w:t>
      </w:r>
    </w:p>
    <w:p w14:paraId="1000A40A" w14:textId="77777777" w:rsidR="00625637" w:rsidRPr="008F4B22" w:rsidRDefault="0087575E" w:rsidP="008F4B22">
      <w:pPr>
        <w:spacing w:after="251" w:line="256" w:lineRule="auto"/>
        <w:ind w:left="4" w:right="-8" w:firstLine="10"/>
        <w:rPr>
          <w:szCs w:val="26"/>
        </w:rPr>
      </w:pPr>
      <w:r w:rsidRPr="008F4B22">
        <w:rPr>
          <w:szCs w:val="26"/>
        </w:rPr>
        <w:t>La implementación de un régimen simplificado implica una calificación, cuando corresponda, de un nivel de exposición y riesgo bajo de los clientes, lo cual permite atenuar el rigor de ciertas medidas ser impulsadas, pudiendo proceder, entre otras medidas, a:</w:t>
      </w:r>
    </w:p>
    <w:p w14:paraId="03A1D38D" w14:textId="77777777" w:rsidR="00625637" w:rsidRPr="008F4B22" w:rsidRDefault="0087575E">
      <w:pPr>
        <w:numPr>
          <w:ilvl w:val="0"/>
          <w:numId w:val="13"/>
        </w:numPr>
        <w:spacing w:after="0"/>
        <w:ind w:left="1103" w:right="14" w:hanging="729"/>
        <w:rPr>
          <w:szCs w:val="26"/>
        </w:rPr>
      </w:pPr>
      <w:r w:rsidRPr="008F4B22">
        <w:rPr>
          <w:szCs w:val="26"/>
        </w:rPr>
        <w:t>Reducción de los requerimientos documentales, pudiendo recurrir a otras fuentes</w:t>
      </w:r>
    </w:p>
    <w:p w14:paraId="723D795F" w14:textId="77777777" w:rsidR="00625637" w:rsidRPr="008F4B22" w:rsidRDefault="0087575E">
      <w:pPr>
        <w:spacing w:after="208"/>
        <w:ind w:left="1094" w:right="14"/>
        <w:rPr>
          <w:szCs w:val="26"/>
        </w:rPr>
      </w:pPr>
      <w:r w:rsidRPr="008F4B22">
        <w:rPr>
          <w:szCs w:val="26"/>
        </w:rPr>
        <w:t>(abiertas o cerradas) para su correspondiente verificación</w:t>
      </w:r>
    </w:p>
    <w:p w14:paraId="3B6637B5" w14:textId="77777777" w:rsidR="00625637" w:rsidRPr="008F4B22" w:rsidRDefault="0087575E">
      <w:pPr>
        <w:numPr>
          <w:ilvl w:val="0"/>
          <w:numId w:val="13"/>
        </w:numPr>
        <w:spacing w:after="138" w:line="260" w:lineRule="auto"/>
        <w:ind w:left="1103" w:right="14" w:hanging="729"/>
        <w:rPr>
          <w:szCs w:val="26"/>
        </w:rPr>
      </w:pPr>
      <w:r w:rsidRPr="008F4B22">
        <w:rPr>
          <w:szCs w:val="26"/>
        </w:rPr>
        <w:t>Menor frecuencia en la actualización de los datos de identificación</w:t>
      </w:r>
    </w:p>
    <w:p w14:paraId="5B7400E1" w14:textId="77777777" w:rsidR="00625637" w:rsidRPr="008F4B22" w:rsidRDefault="0087575E">
      <w:pPr>
        <w:numPr>
          <w:ilvl w:val="0"/>
          <w:numId w:val="13"/>
        </w:numPr>
        <w:spacing w:after="194"/>
        <w:ind w:left="1103" w:right="14" w:hanging="729"/>
        <w:rPr>
          <w:szCs w:val="26"/>
        </w:rPr>
      </w:pPr>
      <w:r w:rsidRPr="008F4B22">
        <w:rPr>
          <w:szCs w:val="26"/>
        </w:rPr>
        <w:t>Eximición de la solicitud de antecedentes que sustenten el volumen de ingresos</w:t>
      </w:r>
    </w:p>
    <w:p w14:paraId="528302E9" w14:textId="77777777" w:rsidR="008F4B22" w:rsidRPr="008F4B22" w:rsidRDefault="0087575E" w:rsidP="008F4B22">
      <w:pPr>
        <w:numPr>
          <w:ilvl w:val="0"/>
          <w:numId w:val="13"/>
        </w:numPr>
        <w:spacing w:after="138" w:line="260" w:lineRule="auto"/>
        <w:ind w:left="1103" w:right="14" w:hanging="729"/>
        <w:rPr>
          <w:szCs w:val="26"/>
        </w:rPr>
      </w:pPr>
      <w:r w:rsidRPr="008F4B22">
        <w:rPr>
          <w:szCs w:val="26"/>
        </w:rPr>
        <w:t>Reducción del grado de monitoreo y análisis de las transacciones</w:t>
      </w:r>
    </w:p>
    <w:p w14:paraId="59F7A649" w14:textId="36B4D603" w:rsidR="00625637" w:rsidRPr="008F4B22" w:rsidRDefault="0087575E" w:rsidP="008F4B22">
      <w:pPr>
        <w:numPr>
          <w:ilvl w:val="0"/>
          <w:numId w:val="13"/>
        </w:numPr>
        <w:spacing w:after="138" w:line="260" w:lineRule="auto"/>
        <w:ind w:left="1103" w:right="14" w:hanging="729"/>
        <w:rPr>
          <w:szCs w:val="26"/>
        </w:rPr>
      </w:pPr>
      <w:r w:rsidRPr="008F4B22">
        <w:rPr>
          <w:szCs w:val="26"/>
        </w:rPr>
        <w:t>Verificación de la identidad del cliente y beneficiario final con posterioridad al establecimiento de la relación, cuando corresponda.</w:t>
      </w:r>
    </w:p>
    <w:p w14:paraId="0CB323D3" w14:textId="77777777" w:rsidR="00625637" w:rsidRPr="008F4B22" w:rsidRDefault="0087575E" w:rsidP="008F4B22">
      <w:pPr>
        <w:spacing w:after="182" w:line="260" w:lineRule="auto"/>
        <w:ind w:left="14" w:right="-8" w:firstLine="0"/>
        <w:rPr>
          <w:szCs w:val="26"/>
        </w:rPr>
      </w:pPr>
      <w:r w:rsidRPr="008F4B22">
        <w:rPr>
          <w:szCs w:val="26"/>
        </w:rPr>
        <w:lastRenderedPageBreak/>
        <w:t>Las medidas de DDC simplificadas no son aceptables cuando exista una sospecha de lavado de activos o financiamiento del terrorismo, o se apliquen en escenarios específicos de mayor riesgo.</w:t>
      </w:r>
    </w:p>
    <w:p w14:paraId="4F721F4E" w14:textId="77777777" w:rsidR="00625637" w:rsidRDefault="0087575E" w:rsidP="008F4B22">
      <w:pPr>
        <w:spacing w:after="182" w:line="259" w:lineRule="auto"/>
        <w:ind w:left="5" w:right="-8" w:hanging="10"/>
      </w:pPr>
      <w:r>
        <w:rPr>
          <w:sz w:val="28"/>
        </w:rPr>
        <w:t>III. Ampliado</w:t>
      </w:r>
    </w:p>
    <w:p w14:paraId="6827E261" w14:textId="77777777" w:rsidR="00625637" w:rsidRDefault="0087575E" w:rsidP="008F4B22">
      <w:pPr>
        <w:ind w:left="4" w:right="-8"/>
      </w:pPr>
      <w:r>
        <w:t>En la implementación de los procesos de DDC, los SO deben analizar, en la medida de lo posible, los antecedentes y el propósito de las transacciones complejas, inusuales, grandes y todos los patrones no habituales de operaciones que no tengan un propósito aparente económico o lícito, para incorporarlos en este régimen.</w:t>
      </w:r>
    </w:p>
    <w:p w14:paraId="5D24846B" w14:textId="77777777" w:rsidR="00625637" w:rsidRDefault="0087575E" w:rsidP="008F4B22">
      <w:pPr>
        <w:spacing w:after="138" w:line="260" w:lineRule="auto"/>
        <w:ind w:left="14" w:right="-8" w:firstLine="0"/>
      </w:pPr>
      <w:r>
        <w:rPr>
          <w:sz w:val="28"/>
        </w:rPr>
        <w:t>Cuando los riesgos de LA/FT sean mayores, deben aplicarse medidas intensificadas de DDC, a tono con los riesgos identificados, traducidas en el incremento del grado y naturaleza del monitoreo de la relación, a fin de determinar si esas transacciones o actividades parecen inusuales o sospechosas.</w:t>
      </w:r>
    </w:p>
    <w:p w14:paraId="5CF8ED43" w14:textId="77777777" w:rsidR="00625637" w:rsidRDefault="0087575E" w:rsidP="008F4B22">
      <w:pPr>
        <w:spacing w:after="223"/>
        <w:ind w:left="4" w:right="-8"/>
      </w:pPr>
      <w:r>
        <w:t>Entre los ejemplos de medidas intensificadas de DDC que se pueden aplicar a relaciones de mayor riesgo se pueden citar:</w:t>
      </w:r>
    </w:p>
    <w:p w14:paraId="54B30EDC" w14:textId="77777777" w:rsidR="00625637" w:rsidRDefault="0087575E" w:rsidP="008F4B22">
      <w:pPr>
        <w:numPr>
          <w:ilvl w:val="0"/>
          <w:numId w:val="14"/>
        </w:numPr>
        <w:spacing w:after="197"/>
        <w:ind w:right="-8" w:hanging="729"/>
      </w:pPr>
      <w:r>
        <w:t>Incrementar la frecuencia en la revisión de la actividad transaccional del cliente y la actualización de su información</w:t>
      </w:r>
    </w:p>
    <w:p w14:paraId="020959A9" w14:textId="77777777" w:rsidR="008F4B22" w:rsidRDefault="0087575E" w:rsidP="008F4B22">
      <w:pPr>
        <w:numPr>
          <w:ilvl w:val="0"/>
          <w:numId w:val="14"/>
        </w:numPr>
        <w:spacing w:after="138" w:line="260" w:lineRule="auto"/>
        <w:ind w:right="-8" w:hanging="729"/>
        <w:rPr>
          <w:szCs w:val="26"/>
        </w:rPr>
      </w:pPr>
      <w:r w:rsidRPr="008F4B22">
        <w:rPr>
          <w:szCs w:val="26"/>
        </w:rPr>
        <w:t>Aplicar medidas adicionales de identificación y verificación</w:t>
      </w:r>
    </w:p>
    <w:p w14:paraId="6681E1A6" w14:textId="77777777" w:rsidR="0071264E" w:rsidRDefault="0087575E" w:rsidP="0071264E">
      <w:pPr>
        <w:numPr>
          <w:ilvl w:val="0"/>
          <w:numId w:val="14"/>
        </w:numPr>
        <w:spacing w:after="138" w:line="260" w:lineRule="auto"/>
        <w:ind w:right="-8" w:hanging="729"/>
        <w:rPr>
          <w:szCs w:val="26"/>
        </w:rPr>
      </w:pPr>
      <w:r>
        <w:t>Monitorear continuamente las operaciones que realice el cliente, incrementando la cantidad y la duración de los controles aplicados, y selección de los patrones de transacciones que necesitan un mayor examen</w:t>
      </w:r>
    </w:p>
    <w:p w14:paraId="735BEE47" w14:textId="51709145" w:rsidR="00625637" w:rsidRPr="0071264E" w:rsidRDefault="0087575E" w:rsidP="0071264E">
      <w:pPr>
        <w:numPr>
          <w:ilvl w:val="0"/>
          <w:numId w:val="14"/>
        </w:numPr>
        <w:spacing w:after="138" w:line="260" w:lineRule="auto"/>
        <w:ind w:right="-8" w:hanging="729"/>
        <w:rPr>
          <w:szCs w:val="26"/>
        </w:rPr>
      </w:pPr>
      <w:r>
        <w:t>Obtener información, y cuando resulte aplicable documentación respaldatoria del origen de los fondos, actividad económica, propósito de las operaciones, carácter de la relación, u otros que el SO considere pertinentes.</w:t>
      </w:r>
    </w:p>
    <w:p w14:paraId="28D11846" w14:textId="77777777" w:rsidR="00625637" w:rsidRDefault="0087575E" w:rsidP="008F4B22">
      <w:pPr>
        <w:spacing w:after="248"/>
        <w:ind w:left="4" w:right="-8"/>
      </w:pPr>
      <w:r>
        <w:t>Los SO deben gestionar los riesgos en base a los regímenes aplicables a cada cliente, realizando revisiones de manera periódica a efecto de recategorizarlos.</w:t>
      </w:r>
    </w:p>
    <w:p w14:paraId="789D0048" w14:textId="77777777" w:rsidR="00625637" w:rsidRDefault="0087575E" w:rsidP="0071264E">
      <w:pPr>
        <w:pStyle w:val="Ttulo5"/>
        <w:spacing w:after="0"/>
        <w:ind w:left="0" w:right="-8"/>
      </w:pPr>
      <w:r>
        <w:rPr>
          <w:sz w:val="44"/>
        </w:rPr>
        <w:t>3.3. Calificación de riesgos aplicable a Clientes</w:t>
      </w:r>
    </w:p>
    <w:p w14:paraId="3A20B59B" w14:textId="77777777" w:rsidR="00625637" w:rsidRDefault="0087575E" w:rsidP="008F4B22">
      <w:pPr>
        <w:spacing w:after="155"/>
        <w:ind w:left="4" w:right="-8"/>
      </w:pPr>
      <w:r>
        <w:t>De manera a determinar el régimen dentro del cual correspondería calificar a un cliente, el SO puede implementar una Matriz de Riesgos, analizando indicadores inherentes a la naturaleza del factor.</w:t>
      </w:r>
    </w:p>
    <w:p w14:paraId="13E3C112" w14:textId="77777777" w:rsidR="00625637" w:rsidRPr="0071264E" w:rsidRDefault="0087575E" w:rsidP="008F4B22">
      <w:pPr>
        <w:spacing w:after="138" w:line="260" w:lineRule="auto"/>
        <w:ind w:left="14" w:right="-8" w:firstLine="0"/>
        <w:rPr>
          <w:szCs w:val="26"/>
        </w:rPr>
      </w:pPr>
      <w:r w:rsidRPr="0071264E">
        <w:rPr>
          <w:szCs w:val="26"/>
        </w:rPr>
        <w:t>La finalidad de la Matriz es medir el nivel de riesgos individual de los clientes, sean estos nuevos o establecidos e independientemente a su naturaleza, a fin de aplicar medidas correctivas o mitigar los efectos adversos o indeseados.</w:t>
      </w:r>
    </w:p>
    <w:p w14:paraId="23728723" w14:textId="7AA1D705" w:rsidR="00625637" w:rsidRDefault="0087575E" w:rsidP="008F4B22">
      <w:pPr>
        <w:spacing w:after="0"/>
        <w:ind w:left="4" w:right="-8"/>
      </w:pPr>
      <w:r>
        <w:t>Conforme los parámetros establecidos en las diversas reglamentaciones emitidas por la SEPRELAD, y las pautas otorgadas por la presente guía, se expone de manera ejemplificativa el siguiente sistema de calificación de riesgos:</w:t>
      </w:r>
    </w:p>
    <w:p w14:paraId="2DC2E5CF" w14:textId="77777777" w:rsidR="0071264E" w:rsidRDefault="0071264E" w:rsidP="008F4B22">
      <w:pPr>
        <w:spacing w:after="0"/>
        <w:ind w:left="4" w:right="-8"/>
      </w:pPr>
    </w:p>
    <w:p w14:paraId="5478BE90" w14:textId="77777777" w:rsidR="0071264E" w:rsidRDefault="0071264E" w:rsidP="008F4B22">
      <w:pPr>
        <w:spacing w:after="0"/>
        <w:ind w:left="4" w:right="-8"/>
      </w:pPr>
    </w:p>
    <w:tbl>
      <w:tblPr>
        <w:tblStyle w:val="TableGrid"/>
        <w:tblW w:w="9236" w:type="dxa"/>
        <w:jc w:val="center"/>
        <w:tblInd w:w="0" w:type="dxa"/>
        <w:tblCellMar>
          <w:top w:w="28" w:type="dxa"/>
          <w:left w:w="67" w:type="dxa"/>
          <w:right w:w="77" w:type="dxa"/>
        </w:tblCellMar>
        <w:tblLook w:val="04A0" w:firstRow="1" w:lastRow="0" w:firstColumn="1" w:lastColumn="0" w:noHBand="0" w:noVBand="1"/>
      </w:tblPr>
      <w:tblGrid>
        <w:gridCol w:w="1483"/>
        <w:gridCol w:w="1830"/>
        <w:gridCol w:w="1660"/>
        <w:gridCol w:w="1762"/>
        <w:gridCol w:w="2501"/>
      </w:tblGrid>
      <w:tr w:rsidR="00625637" w14:paraId="5F7625D4" w14:textId="77777777" w:rsidTr="0071264E">
        <w:trPr>
          <w:trHeight w:val="278"/>
          <w:jc w:val="center"/>
        </w:trPr>
        <w:tc>
          <w:tcPr>
            <w:tcW w:w="4817" w:type="dxa"/>
            <w:gridSpan w:val="3"/>
            <w:tcBorders>
              <w:top w:val="nil"/>
              <w:left w:val="nil"/>
              <w:bottom w:val="single" w:sz="2" w:space="0" w:color="000000"/>
              <w:right w:val="single" w:sz="2" w:space="0" w:color="000000"/>
            </w:tcBorders>
          </w:tcPr>
          <w:p w14:paraId="7BB71B02" w14:textId="77777777" w:rsidR="00625637" w:rsidRDefault="00625637">
            <w:pPr>
              <w:spacing w:after="160" w:line="259" w:lineRule="auto"/>
              <w:ind w:left="0" w:firstLine="0"/>
              <w:jc w:val="left"/>
            </w:pPr>
          </w:p>
        </w:tc>
        <w:tc>
          <w:tcPr>
            <w:tcW w:w="4419" w:type="dxa"/>
            <w:gridSpan w:val="2"/>
            <w:tcBorders>
              <w:top w:val="single" w:sz="2" w:space="0" w:color="000000"/>
              <w:left w:val="single" w:sz="2" w:space="0" w:color="000000"/>
              <w:bottom w:val="single" w:sz="2" w:space="0" w:color="000000"/>
              <w:right w:val="single" w:sz="2" w:space="0" w:color="000000"/>
            </w:tcBorders>
          </w:tcPr>
          <w:p w14:paraId="3A941F00" w14:textId="77777777" w:rsidR="00625637" w:rsidRPr="0071264E" w:rsidRDefault="0087575E">
            <w:pPr>
              <w:spacing w:after="0" w:line="259" w:lineRule="auto"/>
              <w:ind w:left="24" w:firstLine="0"/>
              <w:jc w:val="center"/>
              <w:rPr>
                <w:b/>
                <w:bCs/>
              </w:rPr>
            </w:pPr>
            <w:r w:rsidRPr="0071264E">
              <w:rPr>
                <w:b/>
                <w:bCs/>
                <w:sz w:val="24"/>
              </w:rPr>
              <w:t>TRATAMIENTO DE LOS RIEGOS LA/FT</w:t>
            </w:r>
          </w:p>
        </w:tc>
      </w:tr>
      <w:tr w:rsidR="00625637" w14:paraId="1AF30762" w14:textId="77777777" w:rsidTr="0071264E">
        <w:trPr>
          <w:trHeight w:val="461"/>
          <w:jc w:val="center"/>
        </w:trPr>
        <w:tc>
          <w:tcPr>
            <w:tcW w:w="1241" w:type="dxa"/>
            <w:tcBorders>
              <w:top w:val="single" w:sz="2" w:space="0" w:color="000000"/>
              <w:left w:val="single" w:sz="2" w:space="0" w:color="000000"/>
              <w:bottom w:val="single" w:sz="2" w:space="0" w:color="000000"/>
              <w:right w:val="single" w:sz="2" w:space="0" w:color="000000"/>
            </w:tcBorders>
            <w:vAlign w:val="center"/>
          </w:tcPr>
          <w:p w14:paraId="52962642" w14:textId="77777777" w:rsidR="00625637" w:rsidRPr="0071264E" w:rsidRDefault="0087575E">
            <w:pPr>
              <w:spacing w:after="0" w:line="259" w:lineRule="auto"/>
              <w:ind w:left="58" w:firstLine="0"/>
              <w:jc w:val="left"/>
              <w:rPr>
                <w:b/>
                <w:bCs/>
                <w:sz w:val="24"/>
                <w:szCs w:val="24"/>
              </w:rPr>
            </w:pPr>
            <w:r w:rsidRPr="0071264E">
              <w:rPr>
                <w:b/>
                <w:bCs/>
                <w:sz w:val="24"/>
                <w:szCs w:val="24"/>
              </w:rPr>
              <w:t>MEDICIÓN</w:t>
            </w:r>
          </w:p>
        </w:tc>
        <w:tc>
          <w:tcPr>
            <w:tcW w:w="1896" w:type="dxa"/>
            <w:tcBorders>
              <w:top w:val="single" w:sz="2" w:space="0" w:color="000000"/>
              <w:left w:val="single" w:sz="2" w:space="0" w:color="000000"/>
              <w:bottom w:val="single" w:sz="2" w:space="0" w:color="000000"/>
              <w:right w:val="single" w:sz="2" w:space="0" w:color="000000"/>
            </w:tcBorders>
          </w:tcPr>
          <w:p w14:paraId="5EFE5C21" w14:textId="3F79E358" w:rsidR="00625637" w:rsidRPr="0071264E" w:rsidRDefault="0087575E" w:rsidP="0071264E">
            <w:pPr>
              <w:spacing w:after="0" w:line="259" w:lineRule="auto"/>
              <w:ind w:left="6" w:firstLine="0"/>
              <w:jc w:val="center"/>
              <w:rPr>
                <w:b/>
                <w:bCs/>
                <w:sz w:val="24"/>
                <w:szCs w:val="24"/>
              </w:rPr>
            </w:pPr>
            <w:r w:rsidRPr="0071264E">
              <w:rPr>
                <w:b/>
                <w:bCs/>
                <w:sz w:val="20"/>
                <w:szCs w:val="20"/>
              </w:rPr>
              <w:t>CALIFICACI</w:t>
            </w:r>
            <w:r w:rsidR="0071264E" w:rsidRPr="0071264E">
              <w:rPr>
                <w:b/>
                <w:bCs/>
                <w:sz w:val="20"/>
                <w:szCs w:val="20"/>
              </w:rPr>
              <w:t>O</w:t>
            </w:r>
            <w:r w:rsidRPr="0071264E">
              <w:rPr>
                <w:b/>
                <w:bCs/>
                <w:sz w:val="20"/>
                <w:szCs w:val="20"/>
              </w:rPr>
              <w:t>N DE</w:t>
            </w:r>
            <w:r w:rsidR="0071264E" w:rsidRPr="0071264E">
              <w:rPr>
                <w:b/>
                <w:bCs/>
                <w:sz w:val="20"/>
                <w:szCs w:val="20"/>
              </w:rPr>
              <w:t xml:space="preserve"> </w:t>
            </w:r>
            <w:r w:rsidRPr="0071264E">
              <w:rPr>
                <w:b/>
                <w:bCs/>
                <w:sz w:val="20"/>
                <w:szCs w:val="20"/>
              </w:rPr>
              <w:t>RIESGOS LA/FT</w:t>
            </w:r>
          </w:p>
        </w:tc>
        <w:tc>
          <w:tcPr>
            <w:tcW w:w="1679" w:type="dxa"/>
            <w:tcBorders>
              <w:top w:val="single" w:sz="2" w:space="0" w:color="000000"/>
              <w:left w:val="single" w:sz="2" w:space="0" w:color="000000"/>
              <w:bottom w:val="single" w:sz="2" w:space="0" w:color="000000"/>
              <w:right w:val="single" w:sz="2" w:space="0" w:color="000000"/>
            </w:tcBorders>
            <w:vAlign w:val="center"/>
          </w:tcPr>
          <w:p w14:paraId="5F214F81" w14:textId="77777777" w:rsidR="00625637" w:rsidRPr="0071264E" w:rsidRDefault="0087575E">
            <w:pPr>
              <w:spacing w:after="0" w:line="259" w:lineRule="auto"/>
              <w:ind w:left="19" w:firstLine="0"/>
              <w:jc w:val="center"/>
              <w:rPr>
                <w:b/>
                <w:bCs/>
                <w:sz w:val="24"/>
                <w:szCs w:val="24"/>
              </w:rPr>
            </w:pPr>
            <w:r w:rsidRPr="0071264E">
              <w:rPr>
                <w:b/>
                <w:bCs/>
                <w:sz w:val="24"/>
                <w:szCs w:val="24"/>
              </w:rPr>
              <w:t>IMPACTO</w:t>
            </w:r>
          </w:p>
        </w:tc>
        <w:tc>
          <w:tcPr>
            <w:tcW w:w="1660" w:type="dxa"/>
            <w:tcBorders>
              <w:top w:val="single" w:sz="2" w:space="0" w:color="000000"/>
              <w:left w:val="single" w:sz="2" w:space="0" w:color="000000"/>
              <w:bottom w:val="single" w:sz="2" w:space="0" w:color="000000"/>
              <w:right w:val="single" w:sz="2" w:space="0" w:color="000000"/>
            </w:tcBorders>
          </w:tcPr>
          <w:p w14:paraId="1BF3E8D3" w14:textId="77777777" w:rsidR="00625637" w:rsidRPr="0071264E" w:rsidRDefault="0087575E">
            <w:pPr>
              <w:spacing w:after="0" w:line="259" w:lineRule="auto"/>
              <w:ind w:left="0" w:firstLine="0"/>
              <w:jc w:val="center"/>
              <w:rPr>
                <w:b/>
                <w:bCs/>
                <w:sz w:val="24"/>
                <w:szCs w:val="24"/>
              </w:rPr>
            </w:pPr>
            <w:r w:rsidRPr="0071264E">
              <w:rPr>
                <w:b/>
                <w:bCs/>
                <w:sz w:val="24"/>
                <w:szCs w:val="24"/>
              </w:rPr>
              <w:t>REGIMEN DE DDC</w:t>
            </w:r>
          </w:p>
        </w:tc>
        <w:tc>
          <w:tcPr>
            <w:tcW w:w="2759" w:type="dxa"/>
            <w:tcBorders>
              <w:top w:val="single" w:sz="2" w:space="0" w:color="000000"/>
              <w:left w:val="single" w:sz="2" w:space="0" w:color="000000"/>
              <w:bottom w:val="single" w:sz="2" w:space="0" w:color="000000"/>
              <w:right w:val="single" w:sz="2" w:space="0" w:color="000000"/>
            </w:tcBorders>
          </w:tcPr>
          <w:p w14:paraId="77379BC6" w14:textId="77777777" w:rsidR="00625637" w:rsidRPr="0071264E" w:rsidRDefault="0087575E">
            <w:pPr>
              <w:spacing w:after="0" w:line="259" w:lineRule="auto"/>
              <w:ind w:left="5" w:firstLine="0"/>
              <w:jc w:val="center"/>
              <w:rPr>
                <w:b/>
                <w:bCs/>
                <w:sz w:val="24"/>
                <w:szCs w:val="24"/>
              </w:rPr>
            </w:pPr>
            <w:r w:rsidRPr="0071264E">
              <w:rPr>
                <w:b/>
                <w:bCs/>
                <w:sz w:val="24"/>
                <w:szCs w:val="24"/>
              </w:rPr>
              <w:t>CONTROLES O</w:t>
            </w:r>
          </w:p>
          <w:p w14:paraId="2B5FF2D1" w14:textId="682E9AD4" w:rsidR="00625637" w:rsidRPr="0071264E" w:rsidRDefault="0087575E">
            <w:pPr>
              <w:spacing w:after="0" w:line="259" w:lineRule="auto"/>
              <w:ind w:left="0" w:right="72" w:firstLine="0"/>
              <w:jc w:val="center"/>
              <w:rPr>
                <w:b/>
                <w:bCs/>
                <w:sz w:val="24"/>
                <w:szCs w:val="24"/>
              </w:rPr>
            </w:pPr>
            <w:r w:rsidRPr="0071264E">
              <w:rPr>
                <w:b/>
                <w:bCs/>
                <w:sz w:val="24"/>
                <w:szCs w:val="24"/>
              </w:rPr>
              <w:t>MITIGANTES.</w:t>
            </w:r>
          </w:p>
        </w:tc>
      </w:tr>
      <w:tr w:rsidR="00625637" w14:paraId="147A787E" w14:textId="77777777" w:rsidTr="0071264E">
        <w:trPr>
          <w:trHeight w:val="825"/>
          <w:jc w:val="center"/>
        </w:trPr>
        <w:tc>
          <w:tcPr>
            <w:tcW w:w="1241" w:type="dxa"/>
            <w:tcBorders>
              <w:top w:val="single" w:sz="2" w:space="0" w:color="000000"/>
              <w:left w:val="single" w:sz="2" w:space="0" w:color="000000"/>
              <w:bottom w:val="single" w:sz="2" w:space="0" w:color="000000"/>
              <w:right w:val="single" w:sz="2" w:space="0" w:color="000000"/>
            </w:tcBorders>
            <w:vAlign w:val="center"/>
          </w:tcPr>
          <w:p w14:paraId="786EEAB4" w14:textId="5B4205B2" w:rsidR="00625637" w:rsidRPr="00C27E45" w:rsidRDefault="0071264E">
            <w:pPr>
              <w:spacing w:after="0" w:line="259" w:lineRule="auto"/>
              <w:ind w:left="0" w:right="32" w:firstLine="0"/>
              <w:jc w:val="center"/>
              <w:rPr>
                <w:sz w:val="22"/>
                <w:szCs w:val="16"/>
              </w:rPr>
            </w:pPr>
            <w:r w:rsidRPr="00C27E45">
              <w:rPr>
                <w:sz w:val="22"/>
                <w:szCs w:val="16"/>
              </w:rPr>
              <w:t xml:space="preserve">0 </w:t>
            </w:r>
            <w:r w:rsidR="0087575E" w:rsidRPr="00C27E45">
              <w:rPr>
                <w:sz w:val="22"/>
                <w:szCs w:val="16"/>
              </w:rPr>
              <w:t>a</w:t>
            </w:r>
            <w:r w:rsidRPr="00C27E45">
              <w:rPr>
                <w:sz w:val="22"/>
                <w:szCs w:val="16"/>
              </w:rPr>
              <w:t xml:space="preserve"> 1</w:t>
            </w:r>
          </w:p>
        </w:tc>
        <w:tc>
          <w:tcPr>
            <w:tcW w:w="1896" w:type="dxa"/>
            <w:tcBorders>
              <w:top w:val="single" w:sz="2" w:space="0" w:color="000000"/>
              <w:left w:val="single" w:sz="2" w:space="0" w:color="000000"/>
              <w:bottom w:val="single" w:sz="2" w:space="0" w:color="000000"/>
              <w:right w:val="single" w:sz="2" w:space="0" w:color="000000"/>
            </w:tcBorders>
            <w:vAlign w:val="center"/>
          </w:tcPr>
          <w:p w14:paraId="522EECC2" w14:textId="77777777" w:rsidR="00625637" w:rsidRPr="00C27E45" w:rsidRDefault="0087575E">
            <w:pPr>
              <w:spacing w:after="0" w:line="259" w:lineRule="auto"/>
              <w:ind w:left="0" w:right="4" w:firstLine="0"/>
              <w:jc w:val="center"/>
              <w:rPr>
                <w:sz w:val="22"/>
                <w:szCs w:val="16"/>
              </w:rPr>
            </w:pPr>
            <w:r w:rsidRPr="00C27E45">
              <w:rPr>
                <w:sz w:val="22"/>
                <w:szCs w:val="16"/>
              </w:rPr>
              <w:t>BAJO</w:t>
            </w:r>
          </w:p>
        </w:tc>
        <w:tc>
          <w:tcPr>
            <w:tcW w:w="1679" w:type="dxa"/>
            <w:tcBorders>
              <w:top w:val="single" w:sz="2" w:space="0" w:color="000000"/>
              <w:left w:val="single" w:sz="2" w:space="0" w:color="000000"/>
              <w:bottom w:val="single" w:sz="2" w:space="0" w:color="000000"/>
              <w:right w:val="single" w:sz="2" w:space="0" w:color="000000"/>
            </w:tcBorders>
            <w:vAlign w:val="center"/>
          </w:tcPr>
          <w:p w14:paraId="6D3DA192" w14:textId="77777777" w:rsidR="00625637" w:rsidRPr="00C27E45" w:rsidRDefault="0087575E">
            <w:pPr>
              <w:spacing w:after="0" w:line="259" w:lineRule="auto"/>
              <w:ind w:left="19" w:firstLine="0"/>
              <w:jc w:val="center"/>
              <w:rPr>
                <w:sz w:val="22"/>
                <w:szCs w:val="16"/>
              </w:rPr>
            </w:pPr>
            <w:r w:rsidRPr="00C27E45">
              <w:rPr>
                <w:sz w:val="22"/>
                <w:szCs w:val="16"/>
              </w:rPr>
              <w:t>LEVE</w:t>
            </w:r>
          </w:p>
        </w:tc>
        <w:tc>
          <w:tcPr>
            <w:tcW w:w="1660" w:type="dxa"/>
            <w:tcBorders>
              <w:top w:val="single" w:sz="2" w:space="0" w:color="000000"/>
              <w:left w:val="single" w:sz="2" w:space="0" w:color="000000"/>
              <w:bottom w:val="single" w:sz="2" w:space="0" w:color="000000"/>
              <w:right w:val="single" w:sz="2" w:space="0" w:color="000000"/>
            </w:tcBorders>
            <w:vAlign w:val="center"/>
          </w:tcPr>
          <w:p w14:paraId="706C48BC" w14:textId="77777777" w:rsidR="00625637" w:rsidRPr="00C27E45" w:rsidRDefault="0087575E" w:rsidP="0071264E">
            <w:pPr>
              <w:spacing w:after="0" w:line="259" w:lineRule="auto"/>
              <w:ind w:left="29" w:firstLine="0"/>
              <w:jc w:val="center"/>
              <w:rPr>
                <w:sz w:val="22"/>
                <w:szCs w:val="16"/>
              </w:rPr>
            </w:pPr>
            <w:r w:rsidRPr="00C27E45">
              <w:rPr>
                <w:sz w:val="22"/>
                <w:szCs w:val="16"/>
              </w:rPr>
              <w:t>DDC</w:t>
            </w:r>
          </w:p>
          <w:p w14:paraId="052F4751" w14:textId="77777777" w:rsidR="00625637" w:rsidRPr="00C27E45" w:rsidRDefault="0087575E" w:rsidP="0071264E">
            <w:pPr>
              <w:spacing w:after="0" w:line="259" w:lineRule="auto"/>
              <w:ind w:left="77" w:firstLine="0"/>
              <w:jc w:val="center"/>
              <w:rPr>
                <w:sz w:val="22"/>
                <w:szCs w:val="16"/>
              </w:rPr>
            </w:pPr>
            <w:r w:rsidRPr="00C27E45">
              <w:rPr>
                <w:sz w:val="22"/>
                <w:szCs w:val="16"/>
              </w:rPr>
              <w:t>SIMPLIFICADA</w:t>
            </w:r>
          </w:p>
        </w:tc>
        <w:tc>
          <w:tcPr>
            <w:tcW w:w="2759" w:type="dxa"/>
            <w:tcBorders>
              <w:top w:val="single" w:sz="2" w:space="0" w:color="000000"/>
              <w:left w:val="single" w:sz="2" w:space="0" w:color="000000"/>
              <w:bottom w:val="single" w:sz="2" w:space="0" w:color="000000"/>
              <w:right w:val="single" w:sz="2" w:space="0" w:color="000000"/>
            </w:tcBorders>
          </w:tcPr>
          <w:p w14:paraId="01CF9B03" w14:textId="368E6491" w:rsidR="00625637" w:rsidRPr="0071264E" w:rsidRDefault="0087575E" w:rsidP="0071264E">
            <w:pPr>
              <w:spacing w:after="0" w:line="259" w:lineRule="auto"/>
              <w:ind w:left="0" w:right="-48" w:firstLine="10"/>
              <w:jc w:val="center"/>
              <w:rPr>
                <w:sz w:val="20"/>
              </w:rPr>
            </w:pPr>
            <w:r>
              <w:rPr>
                <w:sz w:val="20"/>
              </w:rPr>
              <w:t>Controles de alertas y actualización de documentaciones con frecuencia reducida</w:t>
            </w:r>
          </w:p>
        </w:tc>
      </w:tr>
      <w:tr w:rsidR="00625637" w14:paraId="7EAEDFB5" w14:textId="77777777" w:rsidTr="0071264E">
        <w:trPr>
          <w:trHeight w:val="624"/>
          <w:jc w:val="center"/>
        </w:trPr>
        <w:tc>
          <w:tcPr>
            <w:tcW w:w="1241" w:type="dxa"/>
            <w:tcBorders>
              <w:top w:val="single" w:sz="2" w:space="0" w:color="000000"/>
              <w:left w:val="single" w:sz="2" w:space="0" w:color="000000"/>
              <w:bottom w:val="single" w:sz="2" w:space="0" w:color="000000"/>
              <w:right w:val="single" w:sz="2" w:space="0" w:color="000000"/>
            </w:tcBorders>
            <w:vAlign w:val="center"/>
          </w:tcPr>
          <w:p w14:paraId="396D284F" w14:textId="77777777" w:rsidR="00625637" w:rsidRPr="00C27E45" w:rsidRDefault="0087575E">
            <w:pPr>
              <w:spacing w:after="0" w:line="259" w:lineRule="auto"/>
              <w:ind w:left="6" w:firstLine="0"/>
              <w:jc w:val="center"/>
              <w:rPr>
                <w:sz w:val="22"/>
                <w:szCs w:val="16"/>
              </w:rPr>
            </w:pPr>
            <w:r w:rsidRPr="00C27E45">
              <w:rPr>
                <w:sz w:val="22"/>
                <w:szCs w:val="16"/>
              </w:rPr>
              <w:t>1,1 a2</w:t>
            </w:r>
          </w:p>
        </w:tc>
        <w:tc>
          <w:tcPr>
            <w:tcW w:w="1896" w:type="dxa"/>
            <w:tcBorders>
              <w:top w:val="single" w:sz="2" w:space="0" w:color="000000"/>
              <w:left w:val="single" w:sz="2" w:space="0" w:color="000000"/>
              <w:bottom w:val="single" w:sz="2" w:space="0" w:color="000000"/>
              <w:right w:val="single" w:sz="2" w:space="0" w:color="000000"/>
            </w:tcBorders>
            <w:vAlign w:val="center"/>
          </w:tcPr>
          <w:p w14:paraId="2BB02176" w14:textId="77777777" w:rsidR="00625637" w:rsidRPr="00C27E45" w:rsidRDefault="0087575E">
            <w:pPr>
              <w:spacing w:after="0" w:line="259" w:lineRule="auto"/>
              <w:ind w:left="0" w:right="4" w:firstLine="0"/>
              <w:jc w:val="center"/>
              <w:rPr>
                <w:sz w:val="22"/>
                <w:szCs w:val="16"/>
              </w:rPr>
            </w:pPr>
            <w:r w:rsidRPr="00C27E45">
              <w:rPr>
                <w:sz w:val="22"/>
                <w:szCs w:val="16"/>
              </w:rPr>
              <w:t>MEDIO</w:t>
            </w:r>
          </w:p>
        </w:tc>
        <w:tc>
          <w:tcPr>
            <w:tcW w:w="1679" w:type="dxa"/>
            <w:tcBorders>
              <w:top w:val="single" w:sz="2" w:space="0" w:color="000000"/>
              <w:left w:val="single" w:sz="2" w:space="0" w:color="000000"/>
              <w:bottom w:val="single" w:sz="2" w:space="0" w:color="000000"/>
              <w:right w:val="single" w:sz="2" w:space="0" w:color="000000"/>
            </w:tcBorders>
            <w:vAlign w:val="center"/>
          </w:tcPr>
          <w:p w14:paraId="1F007FA4" w14:textId="77777777" w:rsidR="00625637" w:rsidRPr="00C27E45" w:rsidRDefault="0087575E">
            <w:pPr>
              <w:spacing w:after="0" w:line="259" w:lineRule="auto"/>
              <w:ind w:left="192" w:firstLine="0"/>
              <w:jc w:val="left"/>
              <w:rPr>
                <w:sz w:val="22"/>
                <w:szCs w:val="16"/>
              </w:rPr>
            </w:pPr>
            <w:r w:rsidRPr="00C27E45">
              <w:rPr>
                <w:sz w:val="22"/>
                <w:szCs w:val="16"/>
              </w:rPr>
              <w:t>MODERADO</w:t>
            </w:r>
          </w:p>
        </w:tc>
        <w:tc>
          <w:tcPr>
            <w:tcW w:w="1660" w:type="dxa"/>
            <w:tcBorders>
              <w:top w:val="single" w:sz="2" w:space="0" w:color="000000"/>
              <w:left w:val="single" w:sz="2" w:space="0" w:color="000000"/>
              <w:bottom w:val="single" w:sz="2" w:space="0" w:color="000000"/>
              <w:right w:val="single" w:sz="2" w:space="0" w:color="000000"/>
            </w:tcBorders>
            <w:vAlign w:val="center"/>
          </w:tcPr>
          <w:p w14:paraId="712D6CE6" w14:textId="77777777" w:rsidR="00625637" w:rsidRPr="00C27E45" w:rsidRDefault="0087575E" w:rsidP="0071264E">
            <w:pPr>
              <w:spacing w:after="0" w:line="259" w:lineRule="auto"/>
              <w:ind w:left="58" w:firstLine="0"/>
              <w:jc w:val="center"/>
              <w:rPr>
                <w:sz w:val="22"/>
                <w:szCs w:val="16"/>
              </w:rPr>
            </w:pPr>
            <w:r w:rsidRPr="00C27E45">
              <w:rPr>
                <w:sz w:val="22"/>
                <w:szCs w:val="16"/>
              </w:rPr>
              <w:t>DDC GENERAL</w:t>
            </w:r>
          </w:p>
        </w:tc>
        <w:tc>
          <w:tcPr>
            <w:tcW w:w="2759" w:type="dxa"/>
            <w:tcBorders>
              <w:top w:val="single" w:sz="2" w:space="0" w:color="000000"/>
              <w:left w:val="single" w:sz="2" w:space="0" w:color="000000"/>
              <w:bottom w:val="single" w:sz="2" w:space="0" w:color="000000"/>
              <w:right w:val="single" w:sz="2" w:space="0" w:color="000000"/>
            </w:tcBorders>
          </w:tcPr>
          <w:p w14:paraId="76B7A7D7" w14:textId="77777777" w:rsidR="00625637" w:rsidRDefault="0087575E" w:rsidP="0071264E">
            <w:pPr>
              <w:spacing w:after="0" w:line="259" w:lineRule="auto"/>
              <w:ind w:left="0" w:right="-48" w:firstLine="10"/>
              <w:jc w:val="center"/>
            </w:pPr>
            <w:r>
              <w:rPr>
                <w:sz w:val="20"/>
              </w:rPr>
              <w:t>Controles de alertas y actualización de documentos con frecuencia moderada</w:t>
            </w:r>
          </w:p>
        </w:tc>
      </w:tr>
      <w:tr w:rsidR="00625637" w14:paraId="6AC57DD2" w14:textId="77777777" w:rsidTr="0071264E">
        <w:trPr>
          <w:trHeight w:val="825"/>
          <w:jc w:val="center"/>
        </w:trPr>
        <w:tc>
          <w:tcPr>
            <w:tcW w:w="1241" w:type="dxa"/>
            <w:tcBorders>
              <w:top w:val="single" w:sz="2" w:space="0" w:color="000000"/>
              <w:left w:val="single" w:sz="2" w:space="0" w:color="000000"/>
              <w:bottom w:val="single" w:sz="2" w:space="0" w:color="000000"/>
              <w:right w:val="single" w:sz="2" w:space="0" w:color="000000"/>
            </w:tcBorders>
            <w:vAlign w:val="center"/>
          </w:tcPr>
          <w:p w14:paraId="15C925A8" w14:textId="77777777" w:rsidR="00625637" w:rsidRPr="00C27E45" w:rsidRDefault="0087575E">
            <w:pPr>
              <w:spacing w:after="0" w:line="259" w:lineRule="auto"/>
              <w:ind w:left="0" w:right="4" w:firstLine="0"/>
              <w:jc w:val="center"/>
              <w:rPr>
                <w:sz w:val="22"/>
                <w:szCs w:val="16"/>
              </w:rPr>
            </w:pPr>
            <w:r w:rsidRPr="00C27E45">
              <w:rPr>
                <w:sz w:val="22"/>
                <w:szCs w:val="16"/>
              </w:rPr>
              <w:t>2,1 a3</w:t>
            </w:r>
          </w:p>
        </w:tc>
        <w:tc>
          <w:tcPr>
            <w:tcW w:w="1896" w:type="dxa"/>
            <w:tcBorders>
              <w:top w:val="single" w:sz="2" w:space="0" w:color="000000"/>
              <w:left w:val="single" w:sz="2" w:space="0" w:color="000000"/>
              <w:bottom w:val="single" w:sz="2" w:space="0" w:color="000000"/>
              <w:right w:val="single" w:sz="2" w:space="0" w:color="000000"/>
            </w:tcBorders>
            <w:vAlign w:val="center"/>
          </w:tcPr>
          <w:p w14:paraId="60B65E18" w14:textId="77777777" w:rsidR="00625637" w:rsidRPr="00C27E45" w:rsidRDefault="0087575E">
            <w:pPr>
              <w:spacing w:after="0" w:line="259" w:lineRule="auto"/>
              <w:ind w:left="0" w:right="23" w:firstLine="0"/>
              <w:jc w:val="center"/>
              <w:rPr>
                <w:sz w:val="22"/>
                <w:szCs w:val="16"/>
              </w:rPr>
            </w:pPr>
            <w:r w:rsidRPr="00C27E45">
              <w:rPr>
                <w:sz w:val="22"/>
                <w:szCs w:val="16"/>
              </w:rPr>
              <w:t>ALTO</w:t>
            </w:r>
          </w:p>
        </w:tc>
        <w:tc>
          <w:tcPr>
            <w:tcW w:w="1679" w:type="dxa"/>
            <w:tcBorders>
              <w:top w:val="single" w:sz="2" w:space="0" w:color="000000"/>
              <w:left w:val="single" w:sz="2" w:space="0" w:color="000000"/>
              <w:bottom w:val="single" w:sz="2" w:space="0" w:color="000000"/>
              <w:right w:val="single" w:sz="2" w:space="0" w:color="000000"/>
            </w:tcBorders>
            <w:vAlign w:val="center"/>
          </w:tcPr>
          <w:p w14:paraId="4F44A42C" w14:textId="77777777" w:rsidR="00625637" w:rsidRPr="00C27E45" w:rsidRDefault="0087575E">
            <w:pPr>
              <w:spacing w:after="0" w:line="259" w:lineRule="auto"/>
              <w:ind w:left="10" w:firstLine="0"/>
              <w:jc w:val="center"/>
              <w:rPr>
                <w:sz w:val="22"/>
                <w:szCs w:val="16"/>
              </w:rPr>
            </w:pPr>
            <w:r w:rsidRPr="00C27E45">
              <w:rPr>
                <w:sz w:val="22"/>
                <w:szCs w:val="16"/>
              </w:rPr>
              <w:t>GRAVE</w:t>
            </w:r>
          </w:p>
        </w:tc>
        <w:tc>
          <w:tcPr>
            <w:tcW w:w="1660" w:type="dxa"/>
            <w:tcBorders>
              <w:top w:val="single" w:sz="2" w:space="0" w:color="000000"/>
              <w:left w:val="single" w:sz="2" w:space="0" w:color="000000"/>
              <w:bottom w:val="single" w:sz="2" w:space="0" w:color="000000"/>
              <w:right w:val="single" w:sz="2" w:space="0" w:color="000000"/>
            </w:tcBorders>
            <w:vAlign w:val="center"/>
          </w:tcPr>
          <w:p w14:paraId="175B0394" w14:textId="77777777" w:rsidR="00625637" w:rsidRPr="00C27E45" w:rsidRDefault="0087575E" w:rsidP="0071264E">
            <w:pPr>
              <w:spacing w:after="0" w:line="259" w:lineRule="auto"/>
              <w:ind w:left="29" w:firstLine="0"/>
              <w:jc w:val="center"/>
              <w:rPr>
                <w:sz w:val="22"/>
                <w:szCs w:val="16"/>
              </w:rPr>
            </w:pPr>
            <w:r w:rsidRPr="00C27E45">
              <w:rPr>
                <w:sz w:val="22"/>
                <w:szCs w:val="16"/>
              </w:rPr>
              <w:t>DDC AMPLIADA</w:t>
            </w:r>
          </w:p>
        </w:tc>
        <w:tc>
          <w:tcPr>
            <w:tcW w:w="2759" w:type="dxa"/>
            <w:tcBorders>
              <w:top w:val="single" w:sz="2" w:space="0" w:color="000000"/>
              <w:left w:val="single" w:sz="2" w:space="0" w:color="000000"/>
              <w:bottom w:val="single" w:sz="2" w:space="0" w:color="000000"/>
              <w:right w:val="single" w:sz="2" w:space="0" w:color="000000"/>
            </w:tcBorders>
          </w:tcPr>
          <w:p w14:paraId="19A50535" w14:textId="70E0E345" w:rsidR="00625637" w:rsidRDefault="0087575E" w:rsidP="0071264E">
            <w:pPr>
              <w:spacing w:after="0" w:line="259" w:lineRule="auto"/>
              <w:ind w:left="0" w:right="-48" w:firstLine="10"/>
              <w:jc w:val="center"/>
            </w:pPr>
            <w:r>
              <w:rPr>
                <w:sz w:val="20"/>
              </w:rPr>
              <w:t>Monitoreo constante de alertas y operaciones, actualización de documentos con mayor sistematic</w:t>
            </w:r>
            <w:r w:rsidR="0071264E">
              <w:rPr>
                <w:sz w:val="20"/>
              </w:rPr>
              <w:t>i</w:t>
            </w:r>
            <w:r>
              <w:rPr>
                <w:sz w:val="20"/>
              </w:rPr>
              <w:t>dad</w:t>
            </w:r>
            <w:r w:rsidR="0071264E">
              <w:rPr>
                <w:sz w:val="20"/>
              </w:rPr>
              <w:t xml:space="preserve"> pe</w:t>
            </w:r>
            <w:r>
              <w:rPr>
                <w:sz w:val="20"/>
              </w:rPr>
              <w:t>riodicidad</w:t>
            </w:r>
          </w:p>
        </w:tc>
      </w:tr>
    </w:tbl>
    <w:p w14:paraId="275203C5" w14:textId="77777777" w:rsidR="0071264E" w:rsidRDefault="0071264E">
      <w:pPr>
        <w:spacing w:after="20"/>
        <w:ind w:left="4" w:right="720"/>
      </w:pPr>
    </w:p>
    <w:p w14:paraId="7602B809" w14:textId="687630A5" w:rsidR="00625637" w:rsidRDefault="0087575E" w:rsidP="0071264E">
      <w:pPr>
        <w:spacing w:after="20"/>
        <w:ind w:left="4" w:right="-8"/>
      </w:pPr>
      <w:r>
        <w:t xml:space="preserve">Estas herramientas </w:t>
      </w:r>
      <w:r w:rsidRPr="0071264E">
        <w:rPr>
          <w:highlight w:val="yellow"/>
        </w:rPr>
        <w:t>pueden ser desarrolladas en los procesos de</w:t>
      </w:r>
      <w:r>
        <w:t xml:space="preserve"> </w:t>
      </w:r>
      <w:r w:rsidRPr="0071264E">
        <w:rPr>
          <w:highlight w:val="yellow"/>
        </w:rPr>
        <w:t xml:space="preserve">vinculación o </w:t>
      </w:r>
      <w:commentRangeStart w:id="13"/>
      <w:r w:rsidRPr="0071264E">
        <w:rPr>
          <w:highlight w:val="yellow"/>
        </w:rPr>
        <w:t>aceptación</w:t>
      </w:r>
      <w:commentRangeEnd w:id="13"/>
      <w:r w:rsidR="0071264E">
        <w:rPr>
          <w:rStyle w:val="Refdecomentario"/>
        </w:rPr>
        <w:commentReference w:id="13"/>
      </w:r>
      <w:r w:rsidRPr="0071264E">
        <w:rPr>
          <w:highlight w:val="yellow"/>
        </w:rPr>
        <w:t xml:space="preserve"> de clientes</w:t>
      </w:r>
      <w:r>
        <w:t>, implementado un modelo lineal, construido sobre tres niveles de calificación, conforme a las probabilidades resultantes del análisis de los factores y sub-factores de riesgos, previas ponderaciones de acuerdo a los criterios desarrollados por el SO, considerando las Evaluaciones Nacionales y Sectoriales, las propias autoevaluaciones del</w:t>
      </w:r>
      <w:r w:rsidR="0071264E">
        <w:t xml:space="preserve"> </w:t>
      </w:r>
      <w:r>
        <w:t>SO e informaciones obtenidas de otras fuentes que deberán ser documentadas.</w:t>
      </w:r>
    </w:p>
    <w:p w14:paraId="615B35E4" w14:textId="77777777" w:rsidR="00625637" w:rsidRDefault="0087575E" w:rsidP="0071264E">
      <w:pPr>
        <w:pStyle w:val="Ttulo5"/>
        <w:spacing w:after="0"/>
        <w:ind w:right="743"/>
      </w:pPr>
      <w:r>
        <w:rPr>
          <w:sz w:val="44"/>
        </w:rPr>
        <w:t>3.4. Etapas de la DDC</w:t>
      </w:r>
    </w:p>
    <w:p w14:paraId="258E760B" w14:textId="77777777" w:rsidR="0071264E" w:rsidRDefault="0087575E">
      <w:pPr>
        <w:ind w:left="4" w:right="14"/>
      </w:pPr>
      <w:r>
        <w:t xml:space="preserve">El procedimiento de DDC se divide en 3 etapas, siendo estas </w:t>
      </w:r>
    </w:p>
    <w:p w14:paraId="4689575A" w14:textId="77777777" w:rsidR="0071264E" w:rsidRDefault="0087575E" w:rsidP="0071264E">
      <w:pPr>
        <w:pStyle w:val="Prrafodelista"/>
        <w:numPr>
          <w:ilvl w:val="0"/>
          <w:numId w:val="30"/>
        </w:numPr>
        <w:ind w:right="14"/>
      </w:pPr>
      <w:r>
        <w:t xml:space="preserve">la de identificación, </w:t>
      </w:r>
    </w:p>
    <w:p w14:paraId="0A873D77" w14:textId="77777777" w:rsidR="0071264E" w:rsidRDefault="0087575E" w:rsidP="0071264E">
      <w:pPr>
        <w:pStyle w:val="Prrafodelista"/>
        <w:numPr>
          <w:ilvl w:val="0"/>
          <w:numId w:val="30"/>
        </w:numPr>
        <w:ind w:right="14"/>
      </w:pPr>
      <w:r>
        <w:t xml:space="preserve">la de verificación </w:t>
      </w:r>
      <w:proofErr w:type="gramStart"/>
      <w:r>
        <w:t>y</w:t>
      </w:r>
      <w:proofErr w:type="gramEnd"/>
      <w:r>
        <w:t xml:space="preserve"> por último, </w:t>
      </w:r>
    </w:p>
    <w:p w14:paraId="032F5927" w14:textId="1DE8E433" w:rsidR="00625637" w:rsidRDefault="0087575E" w:rsidP="0071264E">
      <w:pPr>
        <w:pStyle w:val="Prrafodelista"/>
        <w:numPr>
          <w:ilvl w:val="0"/>
          <w:numId w:val="30"/>
        </w:numPr>
        <w:ind w:right="14"/>
      </w:pPr>
      <w:r>
        <w:t>la etapa de monitoreo.</w:t>
      </w:r>
    </w:p>
    <w:p w14:paraId="4A7BE12B" w14:textId="77777777" w:rsidR="00625637" w:rsidRDefault="0087575E">
      <w:pPr>
        <w:ind w:left="4" w:right="14"/>
      </w:pPr>
      <w:r>
        <w:t xml:space="preserve">Cuando el Sujeto </w:t>
      </w:r>
      <w:commentRangeStart w:id="14"/>
      <w:r>
        <w:t xml:space="preserve">Obligado no pueda cumplir con la DDC en las etapas de </w:t>
      </w:r>
      <w:r w:rsidRPr="0071264E">
        <w:rPr>
          <w:color w:val="FF0000"/>
          <w:u w:val="single"/>
        </w:rPr>
        <w:t>identificación y/o verificación</w:t>
      </w:r>
      <w:r>
        <w:t xml:space="preserve"> al comienzo de la relación comercial, </w:t>
      </w:r>
      <w:r w:rsidRPr="0071264E">
        <w:rPr>
          <w:highlight w:val="yellow"/>
        </w:rPr>
        <w:t>debe abstenerse de iniciarla</w:t>
      </w:r>
      <w:r>
        <w:t>.</w:t>
      </w:r>
      <w:commentRangeEnd w:id="14"/>
      <w:r w:rsidR="0071264E">
        <w:rPr>
          <w:rStyle w:val="Refdecomentario"/>
        </w:rPr>
        <w:commentReference w:id="14"/>
      </w:r>
    </w:p>
    <w:p w14:paraId="0D7A0AB7" w14:textId="77777777" w:rsidR="00625637" w:rsidRDefault="0087575E" w:rsidP="0071264E">
      <w:pPr>
        <w:ind w:left="4" w:right="-8"/>
      </w:pPr>
      <w:r>
        <w:t xml:space="preserve">En cuanto a la etapa de </w:t>
      </w:r>
      <w:r w:rsidRPr="0071264E">
        <w:rPr>
          <w:b/>
          <w:bCs/>
          <w:color w:val="FF0000"/>
        </w:rPr>
        <w:t>verificación</w:t>
      </w:r>
      <w:r>
        <w:t xml:space="preserve">, 13 es tarea del SO </w:t>
      </w:r>
      <w:r w:rsidRPr="0071264E">
        <w:rPr>
          <w:highlight w:val="yellow"/>
        </w:rPr>
        <w:t xml:space="preserve">verificar la autenticidad </w:t>
      </w:r>
      <w:commentRangeStart w:id="15"/>
      <w:r w:rsidRPr="0071264E">
        <w:rPr>
          <w:highlight w:val="yellow"/>
        </w:rPr>
        <w:t>de</w:t>
      </w:r>
      <w:commentRangeEnd w:id="15"/>
      <w:r w:rsidR="0071264E">
        <w:rPr>
          <w:rStyle w:val="Refdecomentario"/>
        </w:rPr>
        <w:commentReference w:id="15"/>
      </w:r>
      <w:r w:rsidRPr="0071264E">
        <w:rPr>
          <w:highlight w:val="yellow"/>
        </w:rPr>
        <w:t xml:space="preserve"> la información proporcionada por el cliente</w:t>
      </w:r>
      <w:r>
        <w:t>, de manera a poder clasificarlo adecuadamente o determinar el perfil que será asignado al mismo.</w:t>
      </w:r>
    </w:p>
    <w:p w14:paraId="1DF9BBAA" w14:textId="77777777" w:rsidR="00625637" w:rsidRDefault="0087575E" w:rsidP="0071264E">
      <w:pPr>
        <w:spacing w:after="86"/>
        <w:ind w:left="4" w:right="-8"/>
      </w:pPr>
      <w:r>
        <w:t xml:space="preserve">En caso de que exista imposibilidad de realizar la adecuada </w:t>
      </w:r>
      <w:r w:rsidRPr="00E44591">
        <w:rPr>
          <w:highlight w:val="yellow"/>
        </w:rPr>
        <w:t>identificación</w:t>
      </w:r>
      <w:r>
        <w:t xml:space="preserve"> del cliente por falta de información, es decir, una inviabilidad de efectuar la DDC, correspondería </w:t>
      </w:r>
      <w:r w:rsidRPr="0071264E">
        <w:rPr>
          <w:highlight w:val="yellow"/>
        </w:rPr>
        <w:t>terminar la relación comercial, sin que tal decisión este supeditada a la existencia de un ROS,</w:t>
      </w:r>
      <w:r>
        <w:t xml:space="preserve"> sino a los factores ya señalados.</w:t>
      </w:r>
    </w:p>
    <w:p w14:paraId="12CFF86D" w14:textId="29EFBE61" w:rsidR="00625637" w:rsidRPr="0071264E" w:rsidRDefault="0087575E" w:rsidP="0071264E">
      <w:pPr>
        <w:spacing w:after="0"/>
        <w:ind w:left="4" w:right="-8"/>
        <w:rPr>
          <w:szCs w:val="26"/>
        </w:rPr>
      </w:pPr>
      <w:r>
        <w:t xml:space="preserve">En la etapa de </w:t>
      </w:r>
      <w:r w:rsidRPr="0071264E">
        <w:rPr>
          <w:b/>
          <w:bCs/>
          <w:color w:val="FF0000"/>
        </w:rPr>
        <w:t>monitoreo</w:t>
      </w:r>
      <w:r>
        <w:t xml:space="preserve">, como culminación de la DDC, se efectúa una comparación entre </w:t>
      </w:r>
      <w:commentRangeStart w:id="16"/>
      <w:r>
        <w:t>lo</w:t>
      </w:r>
      <w:commentRangeEnd w:id="16"/>
      <w:r w:rsidR="006F18B9">
        <w:rPr>
          <w:rStyle w:val="Refdecomentario"/>
        </w:rPr>
        <w:commentReference w:id="16"/>
      </w:r>
      <w:r>
        <w:t xml:space="preserve"> </w:t>
      </w:r>
      <w:r w:rsidRPr="006F18B9">
        <w:rPr>
          <w:highlight w:val="yellow"/>
        </w:rPr>
        <w:t>determinado en una primera instancia y lo efectivamente operado por el cliente</w:t>
      </w:r>
      <w:r>
        <w:t xml:space="preserve">, con el propósito de que, en caso de que surjan variaciones o posibles inconsistencias, </w:t>
      </w:r>
      <w:r w:rsidRPr="00E44591">
        <w:rPr>
          <w:highlight w:val="yellow"/>
        </w:rPr>
        <w:t>se analice el ajuste del perfil</w:t>
      </w:r>
      <w:r>
        <w:t xml:space="preserve"> o la acción que el SO considere en el marco de su enfoque basado en</w:t>
      </w:r>
      <w:r w:rsidR="0071264E">
        <w:t xml:space="preserve"> </w:t>
      </w:r>
      <w:r w:rsidRPr="0071264E">
        <w:rPr>
          <w:szCs w:val="26"/>
        </w:rPr>
        <w:t>riesgos.</w:t>
      </w:r>
    </w:p>
    <w:p w14:paraId="4F7A1C5A" w14:textId="77777777" w:rsidR="00625637" w:rsidRDefault="0087575E" w:rsidP="0071264E">
      <w:pPr>
        <w:spacing w:after="240"/>
        <w:ind w:left="4" w:right="-8"/>
      </w:pPr>
      <w:r>
        <w:t>En el marco de los estándares internacionales sobre la lucha contra el lavado de activos, el financiamiento del terrorismo y de la proliferación, 14 se contemplan tres situaciones en las cuales, ante la imposibilidad de completar adecuadamente el proceso de DDC, se determinan consecuencias concretas.</w:t>
      </w:r>
    </w:p>
    <w:p w14:paraId="1A9E8FB9" w14:textId="77777777" w:rsidR="00625637" w:rsidRDefault="0087575E" w:rsidP="0071264E">
      <w:pPr>
        <w:numPr>
          <w:ilvl w:val="0"/>
          <w:numId w:val="16"/>
        </w:numPr>
        <w:spacing w:after="196"/>
        <w:ind w:left="1103" w:right="-8" w:hanging="729"/>
      </w:pPr>
      <w:r>
        <w:lastRenderedPageBreak/>
        <w:t>No abrir la cuenta o no iniciar la relación comercial</w:t>
      </w:r>
    </w:p>
    <w:p w14:paraId="4FFC7CAE" w14:textId="77777777" w:rsidR="00625637" w:rsidRDefault="0087575E" w:rsidP="0071264E">
      <w:pPr>
        <w:numPr>
          <w:ilvl w:val="0"/>
          <w:numId w:val="16"/>
        </w:numPr>
        <w:ind w:left="1103" w:right="-8" w:hanging="729"/>
      </w:pPr>
      <w:r>
        <w:t>No realizar la transacción u operación, y</w:t>
      </w:r>
    </w:p>
    <w:p w14:paraId="2447FC33" w14:textId="42BD9587" w:rsidR="00625637" w:rsidRDefault="0087575E" w:rsidP="0071264E">
      <w:pPr>
        <w:numPr>
          <w:ilvl w:val="0"/>
          <w:numId w:val="16"/>
        </w:numPr>
        <w:ind w:left="1103" w:right="-8" w:hanging="729"/>
      </w:pPr>
      <w:r>
        <w:t>Cerrar la cuenta o terminar la relación.</w:t>
      </w:r>
    </w:p>
    <w:p w14:paraId="7E1E32F5" w14:textId="77777777" w:rsidR="006F18B9" w:rsidRDefault="006F18B9" w:rsidP="006F18B9">
      <w:pPr>
        <w:ind w:left="1103" w:right="-8" w:firstLine="0"/>
      </w:pPr>
    </w:p>
    <w:p w14:paraId="1435C380" w14:textId="77777777" w:rsidR="006F18B9" w:rsidRPr="006F18B9" w:rsidRDefault="0087575E" w:rsidP="006F18B9">
      <w:pPr>
        <w:spacing w:after="138" w:line="260" w:lineRule="auto"/>
        <w:ind w:left="14" w:right="-8" w:firstLine="0"/>
        <w:rPr>
          <w:szCs w:val="26"/>
        </w:rPr>
      </w:pPr>
      <w:r w:rsidRPr="006F18B9">
        <w:rPr>
          <w:szCs w:val="26"/>
        </w:rPr>
        <w:t xml:space="preserve">En este contexto, </w:t>
      </w:r>
      <w:r w:rsidRPr="00E44591">
        <w:rPr>
          <w:szCs w:val="26"/>
          <w:highlight w:val="yellow"/>
        </w:rPr>
        <w:t>el SO debe considerar hacer un reporte de operación sospechosa en relación</w:t>
      </w:r>
      <w:r w:rsidRPr="006F18B9">
        <w:rPr>
          <w:szCs w:val="26"/>
        </w:rPr>
        <w:t xml:space="preserve"> con el cliente en base a los supuestos que surge en el marco del proceso señalado. La no apertura, el cierre o la no realización de una operación no se encuentran vinculadas a la existencia de un ROS, sino a la imposibilidad de realizar la Debida Diligencia de</w:t>
      </w:r>
      <w:r w:rsidR="006F18B9" w:rsidRPr="006F18B9">
        <w:rPr>
          <w:szCs w:val="26"/>
        </w:rPr>
        <w:t xml:space="preserve"> Conocimiento del Cliente</w:t>
      </w:r>
      <w:r w:rsidR="006F18B9" w:rsidRPr="00E44591">
        <w:rPr>
          <w:szCs w:val="26"/>
          <w:highlight w:val="yellow"/>
        </w:rPr>
        <w:t>. Por ende, la emisión de un Reporte de Operación Sospechosa es una consecuencia, no una causa de lo señalado</w:t>
      </w:r>
      <w:r w:rsidR="006F18B9" w:rsidRPr="006F18B9">
        <w:rPr>
          <w:szCs w:val="26"/>
        </w:rPr>
        <w:t>.</w:t>
      </w:r>
    </w:p>
    <w:p w14:paraId="78A2F3F6" w14:textId="6D99C09E" w:rsidR="00625637" w:rsidRDefault="00625637" w:rsidP="0071264E">
      <w:pPr>
        <w:spacing w:after="138" w:line="260" w:lineRule="auto"/>
        <w:ind w:left="14" w:right="-8" w:firstLine="0"/>
      </w:pPr>
    </w:p>
    <w:p w14:paraId="1E76107E" w14:textId="77777777" w:rsidR="00625637" w:rsidRDefault="0087575E">
      <w:pPr>
        <w:spacing w:after="240" w:line="259" w:lineRule="auto"/>
        <w:ind w:left="10" w:firstLine="0"/>
        <w:jc w:val="left"/>
      </w:pPr>
      <w:r>
        <w:rPr>
          <w:noProof/>
          <w:sz w:val="22"/>
        </w:rPr>
        <mc:AlternateContent>
          <mc:Choice Requires="wpg">
            <w:drawing>
              <wp:inline distT="0" distB="0" distL="0" distR="0" wp14:anchorId="3A427437" wp14:editId="22714530">
                <wp:extent cx="1828063" cy="12185"/>
                <wp:effectExtent l="0" t="0" r="0" b="0"/>
                <wp:docPr id="96430" name="Group 96430"/>
                <wp:cNvGraphicFramePr/>
                <a:graphic xmlns:a="http://schemas.openxmlformats.org/drawingml/2006/main">
                  <a:graphicData uri="http://schemas.microsoft.com/office/word/2010/wordprocessingGroup">
                    <wpg:wgp>
                      <wpg:cNvGrpSpPr/>
                      <wpg:grpSpPr>
                        <a:xfrm>
                          <a:off x="0" y="0"/>
                          <a:ext cx="1828063" cy="12185"/>
                          <a:chOff x="0" y="0"/>
                          <a:chExt cx="1828063" cy="12185"/>
                        </a:xfrm>
                      </wpg:grpSpPr>
                      <wps:wsp>
                        <wps:cNvPr id="96429" name="Shape 96429"/>
                        <wps:cNvSpPr/>
                        <wps:spPr>
                          <a:xfrm>
                            <a:off x="0" y="0"/>
                            <a:ext cx="1828063" cy="12185"/>
                          </a:xfrm>
                          <a:custGeom>
                            <a:avLst/>
                            <a:gdLst/>
                            <a:ahLst/>
                            <a:cxnLst/>
                            <a:rect l="0" t="0" r="0" b="0"/>
                            <a:pathLst>
                              <a:path w="1828063" h="12185">
                                <a:moveTo>
                                  <a:pt x="0" y="6093"/>
                                </a:moveTo>
                                <a:lnTo>
                                  <a:pt x="1828063" y="6093"/>
                                </a:lnTo>
                              </a:path>
                            </a:pathLst>
                          </a:custGeom>
                          <a:ln w="12185"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xmlns:a="http://schemas.openxmlformats.org/drawingml/2006/main">
            <w:pict>
              <v:group id="Group 96430" style="width:143.942pt;height:0.959473pt;mso-position-horizontal-relative:char;mso-position-vertical-relative:line" coordsize="18280,121">
                <v:shape id="Shape 96429" style="position:absolute;width:18280;height:121;left:0;top:0;" coordsize="1828063,12185" path="m0,6093l1828063,6093">
                  <v:stroke weight="0.959473pt" endcap="flat" joinstyle="miter" miterlimit="1" on="true" color="#000000"/>
                  <v:fill on="false" color="#000000"/>
                </v:shape>
              </v:group>
            </w:pict>
          </mc:Fallback>
        </mc:AlternateContent>
      </w:r>
    </w:p>
    <w:p w14:paraId="32636972" w14:textId="77777777" w:rsidR="00625637" w:rsidRDefault="0087575E">
      <w:pPr>
        <w:numPr>
          <w:ilvl w:val="0"/>
          <w:numId w:val="17"/>
        </w:numPr>
        <w:spacing w:after="132" w:line="216" w:lineRule="auto"/>
        <w:ind w:right="362" w:hanging="422"/>
      </w:pPr>
      <w:r>
        <w:rPr>
          <w:sz w:val="20"/>
        </w:rPr>
        <w:t>Para este punto es importante recordar que se permite a los Sujetos Obligados iniciar la relación comercial y efectuar operaciones ordenadas por el cliente antes de que la etapa de verificación se encuentre debidamente culminada, en el marco de sus procedimientos de gestión de riesgos.</w:t>
      </w:r>
    </w:p>
    <w:p w14:paraId="2AD112AE" w14:textId="77777777" w:rsidR="00625637" w:rsidRDefault="0087575E">
      <w:pPr>
        <w:numPr>
          <w:ilvl w:val="0"/>
          <w:numId w:val="17"/>
        </w:numPr>
        <w:spacing w:after="176" w:line="216" w:lineRule="auto"/>
        <w:ind w:right="362" w:hanging="422"/>
      </w:pPr>
      <w:r>
        <w:rPr>
          <w:sz w:val="20"/>
        </w:rPr>
        <w:t>Recomendación 10 del GAFI.</w:t>
      </w:r>
    </w:p>
    <w:p w14:paraId="25A9C135" w14:textId="77777777" w:rsidR="00625637" w:rsidRDefault="0087575E" w:rsidP="006F18B9">
      <w:pPr>
        <w:spacing w:after="93"/>
        <w:ind w:left="4" w:right="-8"/>
      </w:pPr>
      <w:r>
        <w:t xml:space="preserve">Es importante advertir que, además de los 3 supuestos señalados, también se dispone de otra acción alternativa, vinculada a la posibilidad de que los SO, en función a indicios o sospechas de que la </w:t>
      </w:r>
      <w:r w:rsidRPr="00E44591">
        <w:rPr>
          <w:highlight w:val="yellow"/>
        </w:rPr>
        <w:t>operativa del cliente se encuentre relacionada a eventuales hechos de LA/FT o sus delitos precedentes, opten por no aplicar las medidas de DDC y remitan directamente el reporte de operaciones sospechosas a la UIF.</w:t>
      </w:r>
    </w:p>
    <w:p w14:paraId="7C65D49C" w14:textId="77777777" w:rsidR="00625637" w:rsidRDefault="0087575E" w:rsidP="006F18B9">
      <w:pPr>
        <w:spacing w:after="266"/>
        <w:ind w:left="4" w:right="-8"/>
      </w:pPr>
      <w:r w:rsidRPr="0004355F">
        <w:rPr>
          <w:highlight w:val="yellow"/>
        </w:rPr>
        <w:t xml:space="preserve">Otro factor a tener en cuenta en la realización de la DDC </w:t>
      </w:r>
      <w:r w:rsidRPr="00E44591">
        <w:rPr>
          <w:highlight w:val="yellow"/>
          <w:u w:val="single"/>
        </w:rPr>
        <w:t>es la calificación del régimen aplicable</w:t>
      </w:r>
      <w:r w:rsidRPr="0004355F">
        <w:rPr>
          <w:highlight w:val="yellow"/>
        </w:rPr>
        <w:t>, que puede ser simplificado, ampliado o general, según la naturaleza de las personas, sean estas físicas o jurídicas, y sus características particulares.</w:t>
      </w:r>
    </w:p>
    <w:p w14:paraId="699A5403" w14:textId="77777777" w:rsidR="00625637" w:rsidRDefault="0087575E">
      <w:pPr>
        <w:pStyle w:val="Ttulo4"/>
        <w:spacing w:after="59" w:line="259" w:lineRule="auto"/>
        <w:ind w:right="0" w:firstLine="0"/>
        <w:jc w:val="left"/>
      </w:pPr>
      <w:r>
        <w:rPr>
          <w:sz w:val="40"/>
        </w:rPr>
        <w:t>4. MANTENIMIENTO DE REGISTROS</w:t>
      </w:r>
    </w:p>
    <w:p w14:paraId="6095F44B" w14:textId="77777777" w:rsidR="00625637" w:rsidRPr="006F18B9" w:rsidRDefault="0087575E">
      <w:pPr>
        <w:spacing w:after="178" w:line="260" w:lineRule="auto"/>
        <w:ind w:left="14" w:right="14" w:firstLine="0"/>
        <w:rPr>
          <w:szCs w:val="26"/>
        </w:rPr>
      </w:pPr>
      <w:r w:rsidRPr="006F18B9">
        <w:rPr>
          <w:szCs w:val="26"/>
        </w:rPr>
        <w:t>El mantenimiento de los registros consta de dos supuestos a ser tenidos en cuenta:</w:t>
      </w:r>
    </w:p>
    <w:p w14:paraId="73C9CF17" w14:textId="77777777" w:rsidR="00625637" w:rsidRPr="006F18B9" w:rsidRDefault="0087575E" w:rsidP="006F18B9">
      <w:pPr>
        <w:numPr>
          <w:ilvl w:val="0"/>
          <w:numId w:val="18"/>
        </w:numPr>
        <w:spacing w:after="159"/>
        <w:ind w:right="-8" w:hanging="710"/>
        <w:rPr>
          <w:szCs w:val="26"/>
        </w:rPr>
      </w:pPr>
      <w:r w:rsidRPr="006F18B9">
        <w:rPr>
          <w:szCs w:val="26"/>
        </w:rPr>
        <w:t>En primer lugar, el registro de operaciones, en los que se deben conservar los datos de todas las transacciones, sean estas nacionales o internacionales, que fueren realizadas a través del SO</w:t>
      </w:r>
    </w:p>
    <w:p w14:paraId="201A8A23" w14:textId="77777777" w:rsidR="00625637" w:rsidRPr="006F18B9" w:rsidRDefault="0087575E" w:rsidP="006F18B9">
      <w:pPr>
        <w:numPr>
          <w:ilvl w:val="0"/>
          <w:numId w:val="18"/>
        </w:numPr>
        <w:spacing w:after="156"/>
        <w:ind w:right="-8" w:hanging="710"/>
        <w:rPr>
          <w:szCs w:val="26"/>
        </w:rPr>
      </w:pPr>
      <w:r w:rsidRPr="006F18B9">
        <w:rPr>
          <w:szCs w:val="26"/>
        </w:rPr>
        <w:t>En segundo lugar, los registros obtenidos a través de las medidas de DDC, consistentes en archivos de clientes, cuentas, correspondencia comercial, entre otros, y los resultados de los análisis realizados.</w:t>
      </w:r>
    </w:p>
    <w:p w14:paraId="35322008" w14:textId="77777777" w:rsidR="00625637" w:rsidRPr="006F18B9" w:rsidRDefault="0087575E" w:rsidP="006F18B9">
      <w:pPr>
        <w:ind w:left="4" w:right="-8"/>
        <w:rPr>
          <w:szCs w:val="26"/>
        </w:rPr>
      </w:pPr>
      <w:r w:rsidRPr="006F18B9">
        <w:rPr>
          <w:szCs w:val="26"/>
        </w:rPr>
        <w:t xml:space="preserve">En ese sentido, los SO deben conservar los registros de las operaciones </w:t>
      </w:r>
      <w:r w:rsidRPr="006F18B9">
        <w:rPr>
          <w:szCs w:val="26"/>
          <w:vertAlign w:val="superscript"/>
        </w:rPr>
        <w:t xml:space="preserve">15 </w:t>
      </w:r>
      <w:r w:rsidRPr="006F18B9">
        <w:rPr>
          <w:szCs w:val="26"/>
        </w:rPr>
        <w:t>de forma precisa y completa, durante cinco años desde que se ha efectuado la operación, o ha finalizado la relación con el cliente.</w:t>
      </w:r>
    </w:p>
    <w:p w14:paraId="5F03990A" w14:textId="77777777" w:rsidR="00625637" w:rsidRDefault="0087575E">
      <w:pPr>
        <w:spacing w:after="248"/>
        <w:ind w:left="4" w:right="720"/>
      </w:pPr>
      <w:r>
        <w:t>Igualmente, deben mantener todos los registros obtenidos a través de las medidas de Debida Diligencia de Conocimiento del Cliente,16 durante al menos 5 (cinco) años después de finalizada la relación comercial o desde la fecha de la transacción ocasional.</w:t>
      </w:r>
    </w:p>
    <w:p w14:paraId="2812EF13" w14:textId="77777777" w:rsidR="00625637" w:rsidRDefault="0087575E">
      <w:pPr>
        <w:spacing w:after="242" w:line="259" w:lineRule="auto"/>
        <w:ind w:left="10" w:firstLine="0"/>
        <w:jc w:val="left"/>
      </w:pPr>
      <w:r>
        <w:rPr>
          <w:noProof/>
          <w:sz w:val="22"/>
        </w:rPr>
        <w:lastRenderedPageBreak/>
        <mc:AlternateContent>
          <mc:Choice Requires="wpg">
            <w:drawing>
              <wp:inline distT="0" distB="0" distL="0" distR="0" wp14:anchorId="6E7808CB" wp14:editId="0DF64318">
                <wp:extent cx="1828063" cy="12185"/>
                <wp:effectExtent l="0" t="0" r="0" b="0"/>
                <wp:docPr id="96432" name="Group 96432"/>
                <wp:cNvGraphicFramePr/>
                <a:graphic xmlns:a="http://schemas.openxmlformats.org/drawingml/2006/main">
                  <a:graphicData uri="http://schemas.microsoft.com/office/word/2010/wordprocessingGroup">
                    <wpg:wgp>
                      <wpg:cNvGrpSpPr/>
                      <wpg:grpSpPr>
                        <a:xfrm>
                          <a:off x="0" y="0"/>
                          <a:ext cx="1828063" cy="12185"/>
                          <a:chOff x="0" y="0"/>
                          <a:chExt cx="1828063" cy="12185"/>
                        </a:xfrm>
                      </wpg:grpSpPr>
                      <wps:wsp>
                        <wps:cNvPr id="96431" name="Shape 96431"/>
                        <wps:cNvSpPr/>
                        <wps:spPr>
                          <a:xfrm>
                            <a:off x="0" y="0"/>
                            <a:ext cx="1828063" cy="12185"/>
                          </a:xfrm>
                          <a:custGeom>
                            <a:avLst/>
                            <a:gdLst/>
                            <a:ahLst/>
                            <a:cxnLst/>
                            <a:rect l="0" t="0" r="0" b="0"/>
                            <a:pathLst>
                              <a:path w="1828063" h="12185">
                                <a:moveTo>
                                  <a:pt x="0" y="6093"/>
                                </a:moveTo>
                                <a:lnTo>
                                  <a:pt x="1828063" y="6093"/>
                                </a:lnTo>
                              </a:path>
                            </a:pathLst>
                          </a:custGeom>
                          <a:ln w="12185"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xmlns:a="http://schemas.openxmlformats.org/drawingml/2006/main">
            <w:pict>
              <v:group id="Group 96432" style="width:143.942pt;height:0.959473pt;mso-position-horizontal-relative:char;mso-position-vertical-relative:line" coordsize="18280,121">
                <v:shape id="Shape 96431" style="position:absolute;width:18280;height:121;left:0;top:0;" coordsize="1828063,12185" path="m0,6093l1828063,6093">
                  <v:stroke weight="0.959473pt" endcap="flat" joinstyle="miter" miterlimit="1" on="true" color="#000000"/>
                  <v:fill on="false" color="#000000"/>
                </v:shape>
              </v:group>
            </w:pict>
          </mc:Fallback>
        </mc:AlternateContent>
      </w:r>
    </w:p>
    <w:p w14:paraId="796A6897" w14:textId="77777777" w:rsidR="00625637" w:rsidRDefault="0087575E">
      <w:pPr>
        <w:spacing w:after="176" w:line="216" w:lineRule="auto"/>
        <w:ind w:left="148" w:right="4" w:firstLine="0"/>
      </w:pPr>
      <w:r>
        <w:rPr>
          <w:sz w:val="20"/>
        </w:rPr>
        <w:t>15 por ejemplo:</w:t>
      </w:r>
    </w:p>
    <w:p w14:paraId="023B6E02" w14:textId="77777777" w:rsidR="00625637" w:rsidRDefault="0087575E">
      <w:pPr>
        <w:numPr>
          <w:ilvl w:val="0"/>
          <w:numId w:val="19"/>
        </w:numPr>
        <w:spacing w:after="147" w:line="216" w:lineRule="auto"/>
        <w:ind w:right="725" w:hanging="106"/>
      </w:pPr>
      <w:r>
        <w:rPr>
          <w:sz w:val="20"/>
        </w:rPr>
        <w:t>Supuesto a: Si el SO posee una relación comercial vigente hasta la fecha (año 2020) con un cliente desde el año 2010, debe conservar los registros de las operaciones que este realizó desde el año 201 5 hasta el año 2020 (computando un periodo de 5 años). En cambio, si la relación comercial con tal cliente culminó en el año 2019, el SO solo tiene la obligación de la guarda de los registros de las transacciones hasta el año 2024; es decir, por 5 (cinco) años computados desde la finalización de la relación comercial.</w:t>
      </w:r>
    </w:p>
    <w:p w14:paraId="3CF7EDA9" w14:textId="77777777" w:rsidR="00625637" w:rsidRDefault="0087575E">
      <w:pPr>
        <w:numPr>
          <w:ilvl w:val="0"/>
          <w:numId w:val="19"/>
        </w:numPr>
        <w:spacing w:after="106" w:line="216" w:lineRule="auto"/>
        <w:ind w:right="725" w:hanging="106"/>
      </w:pPr>
      <w:r>
        <w:rPr>
          <w:sz w:val="20"/>
        </w:rPr>
        <w:t>Supuesto b: El SO debe conservar los registros de las operaciones que un cliente haya realizado en el año 2016, hasta el año 2021. Es decir, 5 años computados desde que la operación haya sido efectuada, independientemente a que este haya vuelto o no a operar con el SO.</w:t>
      </w:r>
    </w:p>
    <w:p w14:paraId="0E654950" w14:textId="77777777" w:rsidR="00625637" w:rsidRDefault="0087575E">
      <w:pPr>
        <w:spacing w:after="176" w:line="216" w:lineRule="auto"/>
        <w:ind w:left="571" w:right="4" w:hanging="423"/>
      </w:pPr>
      <w:r>
        <w:rPr>
          <w:sz w:val="20"/>
          <w:vertAlign w:val="superscript"/>
        </w:rPr>
        <w:t xml:space="preserve">16 </w:t>
      </w:r>
      <w:proofErr w:type="gramStart"/>
      <w:r>
        <w:rPr>
          <w:sz w:val="20"/>
        </w:rPr>
        <w:t>Por</w:t>
      </w:r>
      <w:proofErr w:type="gramEnd"/>
      <w:r>
        <w:rPr>
          <w:sz w:val="20"/>
        </w:rPr>
        <w:t xml:space="preserve"> ejemplo: En caso de que un cliente se desvincule del SO en el año 2015, esta debe conservar toda la información y documentos sobre la identificación, las que justifiquen las operaciones realizadas, las</w:t>
      </w:r>
    </w:p>
    <w:p w14:paraId="5EBA2F2B" w14:textId="637562E6" w:rsidR="00625637" w:rsidRDefault="00625637" w:rsidP="00C27E45">
      <w:pPr>
        <w:pStyle w:val="Ttulo5"/>
        <w:spacing w:after="317" w:line="266" w:lineRule="auto"/>
        <w:ind w:right="-15"/>
        <w:jc w:val="center"/>
      </w:pPr>
    </w:p>
    <w:p w14:paraId="27B06BCD" w14:textId="77777777" w:rsidR="00625637" w:rsidRDefault="0087575E">
      <w:pPr>
        <w:spacing w:after="153"/>
        <w:ind w:left="4" w:right="720"/>
      </w:pPr>
      <w:r>
        <w:t>Esta disposición tiene el objeto de permitir la reconstrucción de las transacciones, si fuere necesario, a efectos de suministrar pruebas suficientes en el eventual caso de que se promueva algún proceso judicial por actividades delictivas.</w:t>
      </w:r>
    </w:p>
    <w:p w14:paraId="36244F85" w14:textId="77777777" w:rsidR="00625637" w:rsidRDefault="0087575E">
      <w:pPr>
        <w:spacing w:after="286"/>
        <w:ind w:left="4" w:right="729"/>
      </w:pPr>
      <w:r>
        <w:t>Al efecto, los SO deben garantizar que toda la información y registros de transacciones de DDC se ponga con celeridad a disposición de las autoridades competentes, en los plazos y formas que les sea requerida.</w:t>
      </w:r>
    </w:p>
    <w:p w14:paraId="2A0B7610" w14:textId="77777777" w:rsidR="00625637" w:rsidRDefault="0087575E">
      <w:pPr>
        <w:pStyle w:val="Ttulo2"/>
        <w:ind w:left="24"/>
      </w:pPr>
      <w:bookmarkStart w:id="17" w:name="_Toc182224869"/>
      <w:r>
        <w:t>5. DEPENDENCIA EN TERCEROS</w:t>
      </w:r>
      <w:bookmarkEnd w:id="17"/>
    </w:p>
    <w:p w14:paraId="32E8A6B7" w14:textId="44C81735" w:rsidR="00625637" w:rsidRDefault="0087575E" w:rsidP="0004355F">
      <w:pPr>
        <w:spacing w:after="0"/>
        <w:ind w:left="4" w:right="14"/>
      </w:pPr>
      <w:r>
        <w:t>La dependencia en terceros constituye una figura de delegación por parte de los SO de ciertas cuestiones que hacen a la ejecución de la Debida Diligencia de Conocimiento del</w:t>
      </w:r>
      <w:r w:rsidR="0004355F">
        <w:t xml:space="preserve"> </w:t>
      </w:r>
      <w:r>
        <w:rPr>
          <w:sz w:val="28"/>
        </w:rPr>
        <w:t>Cliente, como ser:</w:t>
      </w:r>
    </w:p>
    <w:p w14:paraId="22509598" w14:textId="77777777" w:rsidR="00625637" w:rsidRDefault="0087575E">
      <w:pPr>
        <w:numPr>
          <w:ilvl w:val="0"/>
          <w:numId w:val="20"/>
        </w:numPr>
        <w:spacing w:after="199"/>
        <w:ind w:left="1103" w:right="14" w:hanging="729"/>
      </w:pPr>
      <w:r>
        <w:t>Identificación del cliente</w:t>
      </w:r>
    </w:p>
    <w:p w14:paraId="0887BD44" w14:textId="77777777" w:rsidR="00625637" w:rsidRDefault="0087575E">
      <w:pPr>
        <w:numPr>
          <w:ilvl w:val="0"/>
          <w:numId w:val="20"/>
        </w:numPr>
        <w:spacing w:after="162"/>
        <w:ind w:left="1103" w:right="14" w:hanging="729"/>
      </w:pPr>
      <w:r>
        <w:t>Identificación del beneficiario final</w:t>
      </w:r>
    </w:p>
    <w:p w14:paraId="5A749366" w14:textId="77777777" w:rsidR="00625637" w:rsidRDefault="0087575E">
      <w:pPr>
        <w:numPr>
          <w:ilvl w:val="0"/>
          <w:numId w:val="20"/>
        </w:numPr>
        <w:ind w:left="1103" w:right="14" w:hanging="729"/>
      </w:pPr>
      <w:r>
        <w:t>Comprensión de la naturaleza de su actividad económica o comercial.</w:t>
      </w:r>
    </w:p>
    <w:p w14:paraId="454784A6" w14:textId="77777777" w:rsidR="00625637" w:rsidRDefault="0087575E">
      <w:pPr>
        <w:spacing w:after="169"/>
        <w:ind w:left="4" w:right="14"/>
      </w:pPr>
      <w:r>
        <w:t>Esta delegación podrá realizarse siempre y cuando la reglamentación aplicable al SO lo permita.</w:t>
      </w:r>
    </w:p>
    <w:p w14:paraId="63B8B0EA" w14:textId="77777777" w:rsidR="00625637" w:rsidRDefault="0087575E" w:rsidP="0004355F">
      <w:pPr>
        <w:spacing w:after="154"/>
        <w:ind w:left="4" w:right="-8"/>
      </w:pPr>
      <w:r>
        <w:t>Durante la relación de delegación o dependencia, el Sujeto Obligado delegante acordará la ejecución de acciones que le permitan obtener la información necesaria sobre las medidas de Debida Diligencia desarrolladas a sus clientes; para ello asegurará que el tercero proporcionará sin demora y a solicitud las documentaciones de respaldo relativa a los requisitos de DDC, y que haya implementado medidas de mantenimiento de los registros recabados.</w:t>
      </w:r>
    </w:p>
    <w:p w14:paraId="3F67EE54" w14:textId="77777777" w:rsidR="00625637" w:rsidRDefault="0087575E" w:rsidP="0004355F">
      <w:pPr>
        <w:spacing w:after="153"/>
        <w:ind w:left="4" w:right="-8"/>
      </w:pPr>
      <w:r>
        <w:t>La dependencia también puede realizarse con terceros que residan en otros países, siempre y cuando el SO verifique que el país de procedencia no representa un nivel de riesgo importante.</w:t>
      </w:r>
    </w:p>
    <w:p w14:paraId="112EE6E2" w14:textId="77777777" w:rsidR="00625637" w:rsidRDefault="0087575E" w:rsidP="0004355F">
      <w:pPr>
        <w:ind w:left="4" w:right="-8"/>
      </w:pPr>
      <w:r>
        <w:t>A modo de ejemplo, el SO deberá verificar que el país de procedencia del tercero designado no se encuentre individualizado como "no cooperante" por el GAFI, sujeto a sanciones financieras por parte de organismos internacionales o sometido a contramedidas aplicadas por el Paraguay.</w:t>
      </w:r>
    </w:p>
    <w:p w14:paraId="4F5C21D3" w14:textId="77777777" w:rsidR="00625637" w:rsidRDefault="0087575E">
      <w:pPr>
        <w:spacing w:after="259" w:line="259" w:lineRule="auto"/>
        <w:ind w:left="10" w:firstLine="0"/>
        <w:jc w:val="left"/>
      </w:pPr>
      <w:r>
        <w:rPr>
          <w:noProof/>
          <w:sz w:val="22"/>
        </w:rPr>
        <w:lastRenderedPageBreak/>
        <mc:AlternateContent>
          <mc:Choice Requires="wpg">
            <w:drawing>
              <wp:inline distT="0" distB="0" distL="0" distR="0" wp14:anchorId="3B78A033" wp14:editId="1DA68C03">
                <wp:extent cx="1828063" cy="12185"/>
                <wp:effectExtent l="0" t="0" r="0" b="0"/>
                <wp:docPr id="96434" name="Group 96434"/>
                <wp:cNvGraphicFramePr/>
                <a:graphic xmlns:a="http://schemas.openxmlformats.org/drawingml/2006/main">
                  <a:graphicData uri="http://schemas.microsoft.com/office/word/2010/wordprocessingGroup">
                    <wpg:wgp>
                      <wpg:cNvGrpSpPr/>
                      <wpg:grpSpPr>
                        <a:xfrm>
                          <a:off x="0" y="0"/>
                          <a:ext cx="1828063" cy="12185"/>
                          <a:chOff x="0" y="0"/>
                          <a:chExt cx="1828063" cy="12185"/>
                        </a:xfrm>
                      </wpg:grpSpPr>
                      <wps:wsp>
                        <wps:cNvPr id="96433" name="Shape 96433"/>
                        <wps:cNvSpPr/>
                        <wps:spPr>
                          <a:xfrm>
                            <a:off x="0" y="0"/>
                            <a:ext cx="1828063" cy="12185"/>
                          </a:xfrm>
                          <a:custGeom>
                            <a:avLst/>
                            <a:gdLst/>
                            <a:ahLst/>
                            <a:cxnLst/>
                            <a:rect l="0" t="0" r="0" b="0"/>
                            <a:pathLst>
                              <a:path w="1828063" h="12185">
                                <a:moveTo>
                                  <a:pt x="0" y="6093"/>
                                </a:moveTo>
                                <a:lnTo>
                                  <a:pt x="1828063" y="6093"/>
                                </a:lnTo>
                              </a:path>
                            </a:pathLst>
                          </a:custGeom>
                          <a:ln w="12185"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xmlns:a="http://schemas.openxmlformats.org/drawingml/2006/main">
            <w:pict>
              <v:group id="Group 96434" style="width:143.942pt;height:0.959473pt;mso-position-horizontal-relative:char;mso-position-vertical-relative:line" coordsize="18280,121">
                <v:shape id="Shape 96433" style="position:absolute;width:18280;height:121;left:0;top:0;" coordsize="1828063,12185" path="m0,6093l1828063,6093">
                  <v:stroke weight="0.959473pt" endcap="flat" joinstyle="miter" miterlimit="1" on="true" color="#000000"/>
                  <v:fill on="false" color="#000000"/>
                </v:shape>
              </v:group>
            </w:pict>
          </mc:Fallback>
        </mc:AlternateContent>
      </w:r>
    </w:p>
    <w:p w14:paraId="1C8A7E8F" w14:textId="77777777" w:rsidR="00625637" w:rsidRDefault="0087575E">
      <w:pPr>
        <w:spacing w:after="176" w:line="216" w:lineRule="auto"/>
        <w:ind w:left="586" w:right="297" w:hanging="10"/>
      </w:pPr>
      <w:r>
        <w:rPr>
          <w:sz w:val="20"/>
        </w:rPr>
        <w:t>documentaciones que han sido analizadas para los ajustes del perfil de riesgo y perfil transaccional, entre otros, hasta el año 2020.</w:t>
      </w:r>
    </w:p>
    <w:p w14:paraId="082604CD" w14:textId="77777777" w:rsidR="00625637" w:rsidRDefault="0087575E">
      <w:pPr>
        <w:spacing w:after="176" w:line="216" w:lineRule="auto"/>
        <w:ind w:left="585" w:right="605" w:firstLine="0"/>
      </w:pPr>
      <w:r>
        <w:rPr>
          <w:sz w:val="20"/>
        </w:rPr>
        <w:t>Igualmente, por ejemplo, si se trata de un cliente que realizó una operación de compra de divisas en el año 2013, la entidad debió conservar los registros de esa operación hasta el año 2018.</w:t>
      </w:r>
    </w:p>
    <w:p w14:paraId="3592DF93" w14:textId="77777777" w:rsidR="00625637" w:rsidRDefault="0087575E" w:rsidP="0004355F">
      <w:pPr>
        <w:spacing w:after="271"/>
        <w:ind w:left="4" w:right="-8"/>
      </w:pPr>
      <w:r>
        <w:t>En caso de que la delegación se realice entre SO que componen un mismo grupo financiero o económico, la Máxima Autoridad del grupo velará por la observancia de las siguientes condiciones:</w:t>
      </w:r>
    </w:p>
    <w:p w14:paraId="5E97DF98" w14:textId="77777777" w:rsidR="00625637" w:rsidRDefault="0087575E" w:rsidP="0004355F">
      <w:pPr>
        <w:numPr>
          <w:ilvl w:val="0"/>
          <w:numId w:val="21"/>
        </w:numPr>
        <w:spacing w:after="181"/>
        <w:ind w:left="1103" w:right="-8" w:hanging="729"/>
      </w:pPr>
      <w:r>
        <w:t>La aplicación de los requisitos de DDC, mantenimiento de registros y cumplimiento de las políticas y procedimientos de prevención de LA/FT</w:t>
      </w:r>
    </w:p>
    <w:p w14:paraId="0369B838" w14:textId="77777777" w:rsidR="00625637" w:rsidRDefault="0087575E" w:rsidP="0004355F">
      <w:pPr>
        <w:numPr>
          <w:ilvl w:val="0"/>
          <w:numId w:val="21"/>
        </w:numPr>
        <w:spacing w:after="80"/>
        <w:ind w:left="1103" w:right="-8" w:hanging="729"/>
      </w:pPr>
      <w:r>
        <w:t>La verificación de la implementación de las políticas preventivas</w:t>
      </w:r>
    </w:p>
    <w:p w14:paraId="09CCE256" w14:textId="77777777" w:rsidR="00625637" w:rsidRDefault="0087575E" w:rsidP="0004355F">
      <w:pPr>
        <w:numPr>
          <w:ilvl w:val="0"/>
          <w:numId w:val="21"/>
        </w:numPr>
        <w:spacing w:after="394"/>
        <w:ind w:left="1103" w:right="-8" w:hanging="729"/>
      </w:pPr>
      <w:r>
        <w:t>La consideración de los riesgos a los que se encuentra expuesto el país en las medidas de mitigación implementadas por el grupo.</w:t>
      </w:r>
    </w:p>
    <w:p w14:paraId="1413B43E" w14:textId="710C31CB" w:rsidR="00625637" w:rsidRDefault="0087575E">
      <w:pPr>
        <w:pStyle w:val="Ttulo2"/>
        <w:ind w:left="24"/>
      </w:pPr>
      <w:bookmarkStart w:id="18" w:name="_Toc182224870"/>
      <w:r>
        <w:t xml:space="preserve">6. RELACIONES DE </w:t>
      </w:r>
      <w:bookmarkEnd w:id="18"/>
      <w:r w:rsidR="003C2AC2">
        <w:t>CORRESPONSALÍA</w:t>
      </w:r>
    </w:p>
    <w:p w14:paraId="52F66E70" w14:textId="77777777" w:rsidR="00625637" w:rsidRDefault="0087575E" w:rsidP="0004355F">
      <w:pPr>
        <w:spacing w:after="86"/>
        <w:ind w:left="4" w:right="-8"/>
      </w:pPr>
      <w:r>
        <w:t>Las relaciones de corresponsalía son las que se establecen para transacciones de valores o transferencias de fondos a favor de una institución financiera o a los clientes de esta. Conforme el GAFI, este tipo de vínculos se da entre una entidad financiera (usualmente un banco, denominado "banco corresponsal", a otra (el "banco representado").</w:t>
      </w:r>
    </w:p>
    <w:p w14:paraId="52F79634" w14:textId="77777777" w:rsidR="00625637" w:rsidRDefault="0087575E" w:rsidP="0004355F">
      <w:pPr>
        <w:spacing w:after="312"/>
        <w:ind w:left="4" w:right="-8"/>
      </w:pPr>
      <w:r>
        <w:t>En los casos que resulte viable iniciar relaciones de corresponsalía, es oportuno que los SO que pretendan éstas incorporen procedimientos que le permitan determinar que las instituciones no han sido constituidas como bancos pantalla o las cuentas administradas por estas no son utilizadas por este tipo de entidades, en ningún caso.</w:t>
      </w:r>
    </w:p>
    <w:p w14:paraId="7F4A28B8" w14:textId="77777777" w:rsidR="00625637" w:rsidRDefault="0087575E">
      <w:pPr>
        <w:pStyle w:val="Ttulo3"/>
        <w:spacing w:after="53"/>
        <w:ind w:left="24" w:right="0" w:hanging="10"/>
        <w:jc w:val="left"/>
      </w:pPr>
      <w:bookmarkStart w:id="19" w:name="_Toc182224871"/>
      <w:r>
        <w:rPr>
          <w:sz w:val="44"/>
        </w:rPr>
        <w:t>7. REPORTES DE OPERACIONES SOSPECHOSAS</w:t>
      </w:r>
      <w:bookmarkEnd w:id="19"/>
    </w:p>
    <w:p w14:paraId="5B092742" w14:textId="77777777" w:rsidR="00625637" w:rsidRDefault="0087575E" w:rsidP="0004355F">
      <w:pPr>
        <w:spacing w:after="9"/>
        <w:ind w:left="4" w:right="-8"/>
      </w:pPr>
      <w:r>
        <w:t>El Reporte de Operaciones Sospechosa (ROS) es la base sobre la cual se construyen los datos de inteligencia financiera, por lo que la comunicación oportuna y con prontitud es esencial en el ámbito preventivo.</w:t>
      </w:r>
    </w:p>
    <w:p w14:paraId="0933F81B" w14:textId="77777777" w:rsidR="00625637" w:rsidRDefault="0087575E" w:rsidP="0004355F">
      <w:pPr>
        <w:spacing w:after="39"/>
        <w:ind w:left="4" w:right="-8"/>
      </w:pPr>
      <w:r>
        <w:t>Conforme a las reglamentaciones vigentes, cada SO posee un plazo para analizar una operación que haya sido considerada como una alerta, de manera a calificarla como inusual.</w:t>
      </w:r>
    </w:p>
    <w:p w14:paraId="29C1D138" w14:textId="77777777" w:rsidR="00625637" w:rsidRDefault="0087575E" w:rsidP="0004355F">
      <w:pPr>
        <w:spacing w:after="0"/>
        <w:ind w:left="4" w:right="-8"/>
      </w:pPr>
      <w:r>
        <w:t>Una vez individualizada de esta forma la operación, se inicia el cómputo de otro plazo para que el Oficial de Cumplimiento, el Comité y el Directorio, o los responsables que cada reglamento indique, analicen la operación y decidan calificarla como sospechosa, remitiendo posteriormente un ROS.</w:t>
      </w:r>
    </w:p>
    <w:p w14:paraId="0B8407AC" w14:textId="77777777" w:rsidR="00625637" w:rsidRDefault="0087575E">
      <w:pPr>
        <w:ind w:left="4" w:right="739"/>
      </w:pPr>
      <w:r>
        <w:t>Teniendo en cuenta que las comunicaciones relativas a operaciones sospechosas son comunicadas por medio del sistema implementado por la SEPRELAD, cada normativa ha establecido un plazo de 24 (veinticuatro) horas para la remisión.</w:t>
      </w:r>
    </w:p>
    <w:p w14:paraId="6326F90B" w14:textId="77777777" w:rsidR="00625637" w:rsidRDefault="0087575E">
      <w:pPr>
        <w:pStyle w:val="Ttulo4"/>
        <w:spacing w:after="317" w:line="266" w:lineRule="auto"/>
        <w:ind w:right="-15"/>
      </w:pPr>
      <w:r>
        <w:rPr>
          <w:sz w:val="42"/>
        </w:rPr>
        <w:lastRenderedPageBreak/>
        <w:t>22</w:t>
      </w:r>
    </w:p>
    <w:p w14:paraId="692D179A" w14:textId="77777777" w:rsidR="00625637" w:rsidRDefault="0087575E">
      <w:pPr>
        <w:ind w:left="4" w:right="202"/>
      </w:pPr>
      <w:r>
        <w:t>Atendiendo al desglose de los plazos que rigen para cada uno de los procesos, el periodo entre la formulación de la alerta y la remisión del ROS se distribuye de la siguiente manera:</w:t>
      </w:r>
    </w:p>
    <w:tbl>
      <w:tblPr>
        <w:tblStyle w:val="TableGrid"/>
        <w:tblW w:w="9160" w:type="dxa"/>
        <w:tblInd w:w="240" w:type="dxa"/>
        <w:tblCellMar>
          <w:left w:w="106" w:type="dxa"/>
          <w:right w:w="115" w:type="dxa"/>
        </w:tblCellMar>
        <w:tblLook w:val="04A0" w:firstRow="1" w:lastRow="0" w:firstColumn="1" w:lastColumn="0" w:noHBand="0" w:noVBand="1"/>
      </w:tblPr>
      <w:tblGrid>
        <w:gridCol w:w="7178"/>
        <w:gridCol w:w="1982"/>
      </w:tblGrid>
      <w:tr w:rsidR="00625637" w14:paraId="520891DD" w14:textId="77777777">
        <w:trPr>
          <w:trHeight w:val="696"/>
        </w:trPr>
        <w:tc>
          <w:tcPr>
            <w:tcW w:w="7178" w:type="dxa"/>
            <w:tcBorders>
              <w:top w:val="single" w:sz="2" w:space="0" w:color="000000"/>
              <w:left w:val="single" w:sz="2" w:space="0" w:color="000000"/>
              <w:bottom w:val="single" w:sz="2" w:space="0" w:color="000000"/>
              <w:right w:val="single" w:sz="2" w:space="0" w:color="000000"/>
            </w:tcBorders>
            <w:vAlign w:val="center"/>
          </w:tcPr>
          <w:p w14:paraId="01EF4B69" w14:textId="77777777" w:rsidR="00625637" w:rsidRDefault="0087575E">
            <w:pPr>
              <w:spacing w:after="0" w:line="259" w:lineRule="auto"/>
              <w:ind w:left="10" w:firstLine="0"/>
              <w:jc w:val="left"/>
            </w:pPr>
            <w:r>
              <w:rPr>
                <w:sz w:val="24"/>
              </w:rPr>
              <w:t>Generación de la alerta</w:t>
            </w:r>
          </w:p>
        </w:tc>
        <w:tc>
          <w:tcPr>
            <w:tcW w:w="1982" w:type="dxa"/>
            <w:tcBorders>
              <w:top w:val="single" w:sz="2" w:space="0" w:color="000000"/>
              <w:left w:val="single" w:sz="2" w:space="0" w:color="000000"/>
              <w:bottom w:val="single" w:sz="2" w:space="0" w:color="000000"/>
              <w:right w:val="single" w:sz="2" w:space="0" w:color="000000"/>
            </w:tcBorders>
            <w:vAlign w:val="center"/>
          </w:tcPr>
          <w:p w14:paraId="542CB42A" w14:textId="77777777" w:rsidR="00625637" w:rsidRDefault="0087575E">
            <w:pPr>
              <w:spacing w:after="0" w:line="259" w:lineRule="auto"/>
              <w:ind w:left="5" w:firstLine="0"/>
              <w:jc w:val="center"/>
            </w:pPr>
            <w:r>
              <w:t>X días</w:t>
            </w:r>
          </w:p>
        </w:tc>
      </w:tr>
      <w:tr w:rsidR="00625637" w14:paraId="07601540" w14:textId="77777777">
        <w:trPr>
          <w:trHeight w:val="724"/>
        </w:trPr>
        <w:tc>
          <w:tcPr>
            <w:tcW w:w="7178" w:type="dxa"/>
            <w:tcBorders>
              <w:top w:val="single" w:sz="2" w:space="0" w:color="000000"/>
              <w:left w:val="single" w:sz="2" w:space="0" w:color="000000"/>
              <w:bottom w:val="single" w:sz="2" w:space="0" w:color="000000"/>
              <w:right w:val="single" w:sz="2" w:space="0" w:color="000000"/>
            </w:tcBorders>
            <w:vAlign w:val="center"/>
          </w:tcPr>
          <w:p w14:paraId="2DD0BDA1" w14:textId="77777777" w:rsidR="00625637" w:rsidRDefault="0087575E">
            <w:pPr>
              <w:spacing w:after="0" w:line="259" w:lineRule="auto"/>
              <w:ind w:left="0" w:firstLine="0"/>
              <w:jc w:val="left"/>
            </w:pPr>
            <w:r>
              <w:t>Calificación de la operación como inusual</w:t>
            </w:r>
          </w:p>
        </w:tc>
        <w:tc>
          <w:tcPr>
            <w:tcW w:w="1982" w:type="dxa"/>
            <w:tcBorders>
              <w:top w:val="single" w:sz="2" w:space="0" w:color="000000"/>
              <w:left w:val="single" w:sz="2" w:space="0" w:color="000000"/>
              <w:bottom w:val="single" w:sz="2" w:space="0" w:color="000000"/>
              <w:right w:val="single" w:sz="2" w:space="0" w:color="000000"/>
            </w:tcBorders>
            <w:vAlign w:val="center"/>
          </w:tcPr>
          <w:p w14:paraId="3C078402" w14:textId="77777777" w:rsidR="00625637" w:rsidRDefault="0087575E">
            <w:pPr>
              <w:spacing w:after="0" w:line="259" w:lineRule="auto"/>
              <w:ind w:left="14" w:firstLine="0"/>
              <w:jc w:val="center"/>
            </w:pPr>
            <w:r>
              <w:t>30 días</w:t>
            </w:r>
          </w:p>
        </w:tc>
      </w:tr>
      <w:tr w:rsidR="00625637" w14:paraId="5727CA09" w14:textId="77777777">
        <w:trPr>
          <w:trHeight w:val="614"/>
        </w:trPr>
        <w:tc>
          <w:tcPr>
            <w:tcW w:w="7178" w:type="dxa"/>
            <w:tcBorders>
              <w:top w:val="single" w:sz="2" w:space="0" w:color="000000"/>
              <w:left w:val="single" w:sz="2" w:space="0" w:color="000000"/>
              <w:bottom w:val="single" w:sz="2" w:space="0" w:color="000000"/>
              <w:right w:val="single" w:sz="2" w:space="0" w:color="000000"/>
            </w:tcBorders>
            <w:vAlign w:val="center"/>
          </w:tcPr>
          <w:p w14:paraId="0C1BE789" w14:textId="77777777" w:rsidR="00625637" w:rsidRDefault="0087575E">
            <w:pPr>
              <w:spacing w:after="0" w:line="259" w:lineRule="auto"/>
              <w:ind w:left="10" w:firstLine="0"/>
              <w:jc w:val="left"/>
            </w:pPr>
            <w:r>
              <w:rPr>
                <w:sz w:val="24"/>
              </w:rPr>
              <w:t>Certificación de que la operación es sospechosa</w:t>
            </w:r>
          </w:p>
        </w:tc>
        <w:tc>
          <w:tcPr>
            <w:tcW w:w="1982" w:type="dxa"/>
            <w:tcBorders>
              <w:top w:val="single" w:sz="2" w:space="0" w:color="000000"/>
              <w:left w:val="single" w:sz="2" w:space="0" w:color="000000"/>
              <w:bottom w:val="single" w:sz="2" w:space="0" w:color="000000"/>
              <w:right w:val="single" w:sz="2" w:space="0" w:color="000000"/>
            </w:tcBorders>
            <w:vAlign w:val="center"/>
          </w:tcPr>
          <w:p w14:paraId="258E177D" w14:textId="77777777" w:rsidR="00625637" w:rsidRDefault="0087575E">
            <w:pPr>
              <w:spacing w:after="0" w:line="259" w:lineRule="auto"/>
              <w:ind w:left="14" w:firstLine="0"/>
              <w:jc w:val="center"/>
            </w:pPr>
            <w:r>
              <w:t>90 días</w:t>
            </w:r>
          </w:p>
        </w:tc>
      </w:tr>
      <w:tr w:rsidR="00625637" w14:paraId="305F2571" w14:textId="77777777">
        <w:trPr>
          <w:trHeight w:val="686"/>
        </w:trPr>
        <w:tc>
          <w:tcPr>
            <w:tcW w:w="7178" w:type="dxa"/>
            <w:tcBorders>
              <w:top w:val="single" w:sz="2" w:space="0" w:color="000000"/>
              <w:left w:val="single" w:sz="2" w:space="0" w:color="000000"/>
              <w:bottom w:val="single" w:sz="2" w:space="0" w:color="000000"/>
              <w:right w:val="single" w:sz="2" w:space="0" w:color="000000"/>
            </w:tcBorders>
            <w:vAlign w:val="center"/>
          </w:tcPr>
          <w:p w14:paraId="2C7E9AE1" w14:textId="77777777" w:rsidR="00625637" w:rsidRDefault="0087575E">
            <w:pPr>
              <w:spacing w:after="0" w:line="259" w:lineRule="auto"/>
              <w:ind w:left="10" w:firstLine="0"/>
              <w:jc w:val="left"/>
            </w:pPr>
            <w:r>
              <w:rPr>
                <w:sz w:val="24"/>
              </w:rPr>
              <w:t>Plazo para la remisión del ROS</w:t>
            </w:r>
          </w:p>
        </w:tc>
        <w:tc>
          <w:tcPr>
            <w:tcW w:w="1982" w:type="dxa"/>
            <w:tcBorders>
              <w:top w:val="single" w:sz="2" w:space="0" w:color="000000"/>
              <w:left w:val="single" w:sz="2" w:space="0" w:color="000000"/>
              <w:bottom w:val="single" w:sz="2" w:space="0" w:color="000000"/>
              <w:right w:val="single" w:sz="2" w:space="0" w:color="000000"/>
            </w:tcBorders>
            <w:vAlign w:val="center"/>
          </w:tcPr>
          <w:p w14:paraId="10087AE4" w14:textId="77777777" w:rsidR="00625637" w:rsidRDefault="0087575E">
            <w:pPr>
              <w:spacing w:after="0" w:line="259" w:lineRule="auto"/>
              <w:ind w:left="5" w:firstLine="0"/>
              <w:jc w:val="center"/>
            </w:pPr>
            <w:r>
              <w:t>24 horas</w:t>
            </w:r>
          </w:p>
        </w:tc>
      </w:tr>
    </w:tbl>
    <w:p w14:paraId="4D2C24C2" w14:textId="77777777" w:rsidR="00625637" w:rsidRDefault="0087575E">
      <w:pPr>
        <w:spacing w:after="285" w:line="260" w:lineRule="auto"/>
        <w:ind w:left="14" w:right="14" w:firstLine="0"/>
      </w:pPr>
      <w:proofErr w:type="spellStart"/>
      <w:r>
        <w:rPr>
          <w:sz w:val="28"/>
        </w:rPr>
        <w:t>Obs</w:t>
      </w:r>
      <w:proofErr w:type="spellEnd"/>
      <w:r>
        <w:rPr>
          <w:sz w:val="28"/>
        </w:rPr>
        <w:t>.: Los plazos son computados en días corridos.</w:t>
      </w:r>
    </w:p>
    <w:p w14:paraId="318B15F9" w14:textId="77777777" w:rsidR="00625637" w:rsidRDefault="0087575E">
      <w:pPr>
        <w:pStyle w:val="Ttulo2"/>
        <w:spacing w:after="80"/>
        <w:ind w:left="24"/>
      </w:pPr>
      <w:bookmarkStart w:id="20" w:name="_Toc182224872"/>
      <w:r>
        <w:t>8. PAUTAS FINALES</w:t>
      </w:r>
      <w:bookmarkEnd w:id="20"/>
    </w:p>
    <w:p w14:paraId="3FD6AFB9" w14:textId="77777777" w:rsidR="00625637" w:rsidRDefault="0087575E">
      <w:pPr>
        <w:ind w:left="4" w:right="729"/>
      </w:pPr>
      <w:r>
        <w:t>La UIF- SEPRELAD ha elaborado este documento con la finalidad de otorgar herramientas orientativas que permitan desarrollar con mayor certeza los deberes que le han sido encomendados en el rol como SO respecto a conductas u operaciones presuntamente vinculadas con los delitos de LA/FT, aplicando un enfoque basado en riesgos.</w:t>
      </w:r>
    </w:p>
    <w:p w14:paraId="2A2023E0" w14:textId="77777777" w:rsidR="00625637" w:rsidRDefault="0087575E">
      <w:pPr>
        <w:ind w:left="4" w:right="710"/>
      </w:pPr>
      <w:r>
        <w:t>Las directrices descriptas resultan aplicables a todos los SO y su contenido debe ser implementado atendiendo a los preceptos del Reglamento de prevención emitido en forma específica para cada sector, además de las guías oficiales emitidas por el Grupo de Acción Financiera (GAFI) y aquellas que se consideren pertinentes en un futuro.</w:t>
      </w:r>
    </w:p>
    <w:p w14:paraId="2E0D0FC8" w14:textId="77777777" w:rsidR="00625637" w:rsidRDefault="0087575E">
      <w:pPr>
        <w:spacing w:after="2988"/>
        <w:ind w:left="4" w:right="720"/>
      </w:pPr>
      <w:r>
        <w:t>La SEPRELAD, eventualmente, podrá emitir guías de aplicación complementarias atinentes a los diferentes puntos desarrollados en la presente, actualizar los mismos y, en su caso, emitir nuevas pautas a ser implementadas en base a los parámetros y preceptos de las disposiciones legales nacionales, las 40 recomendaciones, sus notas interpretativas y los parámetros de la metodología de evaluación del GAFI.</w:t>
      </w:r>
    </w:p>
    <w:p w14:paraId="46234977" w14:textId="77777777" w:rsidR="00625637" w:rsidRDefault="0087575E">
      <w:pPr>
        <w:spacing w:after="0" w:line="260" w:lineRule="auto"/>
        <w:ind w:left="14" w:right="14" w:firstLine="0"/>
      </w:pPr>
      <w:r>
        <w:rPr>
          <w:sz w:val="28"/>
        </w:rPr>
        <w:t>Elaborado por: Dirección General de Asesoría Jurídica- SEPRELAD</w:t>
      </w:r>
    </w:p>
    <w:p w14:paraId="52C643F4" w14:textId="106753F1" w:rsidR="00625637" w:rsidRDefault="0087575E">
      <w:pPr>
        <w:ind w:left="4" w:right="14"/>
      </w:pPr>
      <w:r>
        <w:t xml:space="preserve">Aprobado por: Carlos Arregui Romero, </w:t>
      </w:r>
      <w:proofErr w:type="gramStart"/>
      <w:r>
        <w:t>Ministro</w:t>
      </w:r>
      <w:proofErr w:type="gramEnd"/>
      <w:r>
        <w:t>- Secretario Ejecutivo</w:t>
      </w:r>
    </w:p>
    <w:sectPr w:rsidR="00625637" w:rsidSect="008F4B22">
      <w:headerReference w:type="even" r:id="rId22"/>
      <w:headerReference w:type="default" r:id="rId23"/>
      <w:headerReference w:type="first" r:id="rId24"/>
      <w:pgSz w:w="11899" w:h="16838"/>
      <w:pgMar w:top="576" w:right="984" w:bottom="738" w:left="1142"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Cynthia Sanabria" w:date="2024-11-11T19:01:00Z" w:initials="CS">
    <w:p w14:paraId="55FF6DBF" w14:textId="57E562BE" w:rsidR="00784A85" w:rsidRDefault="00784A85">
      <w:pPr>
        <w:pStyle w:val="Textocomentario"/>
      </w:pPr>
      <w:r>
        <w:rPr>
          <w:rStyle w:val="Refdecomentario"/>
        </w:rPr>
        <w:annotationRef/>
      </w:r>
      <w:r>
        <w:t>materialidad</w:t>
      </w:r>
    </w:p>
  </w:comment>
  <w:comment w:id="5" w:author="Cynthia Sanabria" w:date="2024-11-11T13:44:00Z" w:initials="CS">
    <w:p w14:paraId="596FBBD3" w14:textId="0E4F9517" w:rsidR="008B4D7E" w:rsidRDefault="008B4D7E">
      <w:pPr>
        <w:pStyle w:val="Textocomentario"/>
      </w:pPr>
      <w:r>
        <w:rPr>
          <w:rStyle w:val="Refdecomentario"/>
        </w:rPr>
        <w:annotationRef/>
      </w:r>
      <w:r>
        <w:t>Cada Actividad</w:t>
      </w:r>
    </w:p>
  </w:comment>
  <w:comment w:id="6" w:author="Cynthia Sanabria" w:date="2024-11-11T13:45:00Z" w:initials="CS">
    <w:p w14:paraId="1E1747E2" w14:textId="5BECAEF9" w:rsidR="008B4D7E" w:rsidRDefault="008B4D7E">
      <w:pPr>
        <w:pStyle w:val="Textocomentario"/>
      </w:pPr>
      <w:r>
        <w:rPr>
          <w:rStyle w:val="Refdecomentario"/>
        </w:rPr>
        <w:annotationRef/>
      </w:r>
      <w:r>
        <w:t>Cada Producto</w:t>
      </w:r>
    </w:p>
  </w:comment>
  <w:comment w:id="7" w:author="Cynthia Sanabria" w:date="2024-11-11T14:58:00Z" w:initials="CS">
    <w:p w14:paraId="476234F6" w14:textId="34DE7CA9" w:rsidR="00911B6D" w:rsidRDefault="00911B6D">
      <w:pPr>
        <w:pStyle w:val="Textocomentario"/>
      </w:pPr>
      <w:r>
        <w:rPr>
          <w:rStyle w:val="Refdecomentario"/>
        </w:rPr>
        <w:annotationRef/>
      </w:r>
      <w:r>
        <w:t>Se debe tener la Metodología</w:t>
      </w:r>
    </w:p>
    <w:p w14:paraId="31BD7CD6" w14:textId="52DB6FF0" w:rsidR="00911B6D" w:rsidRDefault="00911B6D">
      <w:pPr>
        <w:pStyle w:val="Textocomentario"/>
      </w:pPr>
    </w:p>
  </w:comment>
  <w:comment w:id="8" w:author="Cynthia Sanabria" w:date="2024-11-11T15:06:00Z" w:initials="CS">
    <w:p w14:paraId="488BD99F" w14:textId="77777777" w:rsidR="00911B6D" w:rsidRDefault="00911B6D">
      <w:pPr>
        <w:pStyle w:val="Textocomentario"/>
      </w:pPr>
      <w:r>
        <w:rPr>
          <w:rStyle w:val="Refdecomentario"/>
        </w:rPr>
        <w:annotationRef/>
      </w:r>
      <w:r>
        <w:t>Características de cada uno de ellos</w:t>
      </w:r>
    </w:p>
    <w:p w14:paraId="62A08BAA" w14:textId="5F40806E" w:rsidR="00911B6D" w:rsidRDefault="00911B6D">
      <w:pPr>
        <w:pStyle w:val="Textocomentario"/>
      </w:pPr>
    </w:p>
  </w:comment>
  <w:comment w:id="10" w:author="Cynthia Sanabria" w:date="2024-11-12T23:58:00Z" w:initials="CS">
    <w:p w14:paraId="4504E2A2" w14:textId="16CEF7FB" w:rsidR="005B7A2B" w:rsidRDefault="005B7A2B">
      <w:pPr>
        <w:pStyle w:val="Textocomentario"/>
      </w:pPr>
      <w:r>
        <w:rPr>
          <w:rStyle w:val="Refdecomentario"/>
        </w:rPr>
        <w:annotationRef/>
      </w:r>
      <w:r>
        <w:t>OJO</w:t>
      </w:r>
    </w:p>
  </w:comment>
  <w:comment w:id="9" w:author="Cynthia Sanabria" w:date="2024-11-11T16:22:00Z" w:initials="CS">
    <w:p w14:paraId="15F959E3" w14:textId="64AF1D4D" w:rsidR="004A771F" w:rsidRDefault="004A771F">
      <w:pPr>
        <w:pStyle w:val="Textocomentario"/>
      </w:pPr>
      <w:r>
        <w:rPr>
          <w:rStyle w:val="Refdecomentario"/>
        </w:rPr>
        <w:annotationRef/>
      </w:r>
      <w:r>
        <w:t>DOCUMENTAR</w:t>
      </w:r>
    </w:p>
  </w:comment>
  <w:comment w:id="13" w:author="Cynthia Sanabria" w:date="2024-12-16T08:53:00Z" w:initials="CS">
    <w:p w14:paraId="1345E385" w14:textId="4B603A86" w:rsidR="0071264E" w:rsidRDefault="0071264E">
      <w:pPr>
        <w:pStyle w:val="Textocomentario"/>
      </w:pPr>
      <w:r>
        <w:rPr>
          <w:rStyle w:val="Refdecomentario"/>
        </w:rPr>
        <w:annotationRef/>
      </w:r>
      <w:r>
        <w:t>QUE MOMENTO TIENE QUE CALIFICARSE</w:t>
      </w:r>
    </w:p>
  </w:comment>
  <w:comment w:id="14" w:author="Cynthia Sanabria" w:date="2024-12-16T08:55:00Z" w:initials="CS">
    <w:p w14:paraId="3ECDFA12" w14:textId="77777777" w:rsidR="0071264E" w:rsidRDefault="0071264E">
      <w:pPr>
        <w:pStyle w:val="Textocomentario"/>
      </w:pPr>
      <w:r>
        <w:rPr>
          <w:rStyle w:val="Refdecomentario"/>
        </w:rPr>
        <w:annotationRef/>
      </w:r>
      <w:r>
        <w:t>OJO</w:t>
      </w:r>
    </w:p>
    <w:p w14:paraId="67EA4D96" w14:textId="20718A29" w:rsidR="0071264E" w:rsidRDefault="0071264E">
      <w:pPr>
        <w:pStyle w:val="Textocomentario"/>
      </w:pPr>
    </w:p>
  </w:comment>
  <w:comment w:id="15" w:author="Cynthia Sanabria" w:date="2024-12-16T08:56:00Z" w:initials="CS">
    <w:p w14:paraId="7EFF60B3" w14:textId="39CFE4EE" w:rsidR="0071264E" w:rsidRDefault="0071264E">
      <w:pPr>
        <w:pStyle w:val="Textocomentario"/>
      </w:pPr>
      <w:r>
        <w:rPr>
          <w:rStyle w:val="Refdecomentario"/>
        </w:rPr>
        <w:annotationRef/>
      </w:r>
      <w:r>
        <w:t>NO TE DA TU C.I ORIGINAL, Y DEMAS DOCUMENTOS.</w:t>
      </w:r>
    </w:p>
  </w:comment>
  <w:comment w:id="16" w:author="Cynthia Sanabria" w:date="2024-12-16T08:58:00Z" w:initials="CS">
    <w:p w14:paraId="239B1C95" w14:textId="315270C9" w:rsidR="006F18B9" w:rsidRDefault="006F18B9">
      <w:pPr>
        <w:pStyle w:val="Textocomentario"/>
      </w:pPr>
      <w:r>
        <w:rPr>
          <w:rStyle w:val="Refdecomentario"/>
        </w:rPr>
        <w:annotationRef/>
      </w:r>
      <w:r>
        <w:t>VER SI SE MODIFICO EL PERFIL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5FF6DBF" w15:done="0"/>
  <w15:commentEx w15:paraId="596FBBD3" w15:done="0"/>
  <w15:commentEx w15:paraId="1E1747E2" w15:done="0"/>
  <w15:commentEx w15:paraId="31BD7CD6" w15:done="0"/>
  <w15:commentEx w15:paraId="62A08BAA" w15:done="0"/>
  <w15:commentEx w15:paraId="4504E2A2" w15:done="0"/>
  <w15:commentEx w15:paraId="15F959E3" w15:done="0"/>
  <w15:commentEx w15:paraId="1345E385" w15:done="0"/>
  <w15:commentEx w15:paraId="67EA4D96" w15:done="0"/>
  <w15:commentEx w15:paraId="7EFF60B3" w15:done="0"/>
  <w15:commentEx w15:paraId="239B1C9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DCD313" w16cex:dateUtc="2024-11-11T22:01:00Z"/>
  <w16cex:commentExtensible w16cex:durableId="2ADC88C6" w16cex:dateUtc="2024-11-11T16:44:00Z"/>
  <w16cex:commentExtensible w16cex:durableId="2ADC88FF" w16cex:dateUtc="2024-11-11T16:45:00Z"/>
  <w16cex:commentExtensible w16cex:durableId="2ADC99FE" w16cex:dateUtc="2024-11-11T17:58:00Z"/>
  <w16cex:commentExtensible w16cex:durableId="2ADC9BEB" w16cex:dateUtc="2024-11-11T18:06:00Z"/>
  <w16cex:commentExtensible w16cex:durableId="2ADE6A36" w16cex:dateUtc="2024-11-13T02:58:00Z"/>
  <w16cex:commentExtensible w16cex:durableId="2ADCADC9" w16cex:dateUtc="2024-11-11T19:22:00Z"/>
  <w16cex:commentExtensible w16cex:durableId="2B0A690C" w16cex:dateUtc="2024-12-16T11:53:00Z"/>
  <w16cex:commentExtensible w16cex:durableId="2B0A699B" w16cex:dateUtc="2024-12-16T11:55:00Z"/>
  <w16cex:commentExtensible w16cex:durableId="2B0A69D0" w16cex:dateUtc="2024-12-16T11:56:00Z"/>
  <w16cex:commentExtensible w16cex:durableId="2B0A6A4C" w16cex:dateUtc="2024-12-16T11: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5FF6DBF" w16cid:durableId="2ADCD313"/>
  <w16cid:commentId w16cid:paraId="596FBBD3" w16cid:durableId="2ADC88C6"/>
  <w16cid:commentId w16cid:paraId="1E1747E2" w16cid:durableId="2ADC88FF"/>
  <w16cid:commentId w16cid:paraId="31BD7CD6" w16cid:durableId="2ADC99FE"/>
  <w16cid:commentId w16cid:paraId="62A08BAA" w16cid:durableId="2ADC9BEB"/>
  <w16cid:commentId w16cid:paraId="4504E2A2" w16cid:durableId="2ADE6A36"/>
  <w16cid:commentId w16cid:paraId="15F959E3" w16cid:durableId="2ADCADC9"/>
  <w16cid:commentId w16cid:paraId="1345E385" w16cid:durableId="2B0A690C"/>
  <w16cid:commentId w16cid:paraId="67EA4D96" w16cid:durableId="2B0A699B"/>
  <w16cid:commentId w16cid:paraId="7EFF60B3" w16cid:durableId="2B0A69D0"/>
  <w16cid:commentId w16cid:paraId="239B1C95" w16cid:durableId="2B0A6A4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3814D" w14:textId="77777777" w:rsidR="008A7158" w:rsidRDefault="008A7158">
      <w:pPr>
        <w:spacing w:after="0" w:line="240" w:lineRule="auto"/>
      </w:pPr>
      <w:r>
        <w:separator/>
      </w:r>
    </w:p>
  </w:endnote>
  <w:endnote w:type="continuationSeparator" w:id="0">
    <w:p w14:paraId="37D6B04D" w14:textId="77777777" w:rsidR="008A7158" w:rsidRDefault="008A71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9C22C" w14:textId="77777777" w:rsidR="008A7158" w:rsidRDefault="008A7158">
      <w:pPr>
        <w:spacing w:after="0" w:line="216" w:lineRule="auto"/>
        <w:ind w:left="585" w:right="134" w:hanging="422"/>
        <w:jc w:val="left"/>
      </w:pPr>
      <w:r>
        <w:separator/>
      </w:r>
    </w:p>
  </w:footnote>
  <w:footnote w:type="continuationSeparator" w:id="0">
    <w:p w14:paraId="4FC1EC4B" w14:textId="77777777" w:rsidR="008A7158" w:rsidRDefault="008A7158">
      <w:pPr>
        <w:spacing w:after="0" w:line="216" w:lineRule="auto"/>
        <w:ind w:left="585" w:right="134" w:hanging="422"/>
        <w:jc w:val="left"/>
      </w:pPr>
      <w:r>
        <w:continuationSeparator/>
      </w:r>
    </w:p>
  </w:footnote>
  <w:footnote w:id="1">
    <w:p w14:paraId="7E40F0D9" w14:textId="77777777" w:rsidR="00625637" w:rsidRDefault="0087575E">
      <w:pPr>
        <w:pStyle w:val="footnotedescription"/>
        <w:spacing w:after="184"/>
        <w:jc w:val="left"/>
      </w:pPr>
      <w:r>
        <w:rPr>
          <w:rStyle w:val="footnotemark"/>
        </w:rPr>
        <w:footnoteRef/>
      </w:r>
      <w:r>
        <w:t xml:space="preserve"> Indicación </w:t>
      </w:r>
      <w:r>
        <w:rPr>
          <w:sz w:val="26"/>
        </w:rPr>
        <w:t xml:space="preserve">si </w:t>
      </w:r>
      <w:r>
        <w:t xml:space="preserve">refiere </w:t>
      </w:r>
      <w:r>
        <w:rPr>
          <w:sz w:val="26"/>
        </w:rPr>
        <w:t xml:space="preserve">a </w:t>
      </w:r>
      <w:r>
        <w:t xml:space="preserve">personas </w:t>
      </w:r>
      <w:r>
        <w:rPr>
          <w:sz w:val="22"/>
        </w:rPr>
        <w:t xml:space="preserve">físicas, </w:t>
      </w:r>
      <w:r>
        <w:t xml:space="preserve">personas </w:t>
      </w:r>
      <w:r>
        <w:rPr>
          <w:sz w:val="22"/>
        </w:rPr>
        <w:t xml:space="preserve">o </w:t>
      </w:r>
      <w:r>
        <w:t xml:space="preserve">estructuras jurídicas, sobre </w:t>
      </w:r>
      <w:r>
        <w:rPr>
          <w:sz w:val="18"/>
        </w:rPr>
        <w:t xml:space="preserve">todo </w:t>
      </w:r>
      <w:r>
        <w:rPr>
          <w:sz w:val="26"/>
        </w:rPr>
        <w:t xml:space="preserve">si </w:t>
      </w:r>
      <w:r>
        <w:t xml:space="preserve">tienen particularidades que traen inmersos criterios específicos, como </w:t>
      </w:r>
      <w:r>
        <w:rPr>
          <w:sz w:val="24"/>
        </w:rPr>
        <w:t xml:space="preserve">PEPs, </w:t>
      </w:r>
      <w:r>
        <w:t>etc.</w:t>
      </w:r>
    </w:p>
  </w:footnote>
  <w:footnote w:id="2">
    <w:p w14:paraId="1C64A4B4" w14:textId="77777777" w:rsidR="00625637" w:rsidRDefault="0087575E">
      <w:pPr>
        <w:pStyle w:val="footnotedescription"/>
        <w:spacing w:after="118"/>
      </w:pPr>
      <w:r>
        <w:rPr>
          <w:rStyle w:val="footnotemark"/>
        </w:rPr>
        <w:footnoteRef/>
      </w:r>
      <w:r>
        <w:t xml:space="preserve"> </w:t>
      </w:r>
      <w:r>
        <w:rPr>
          <w:sz w:val="24"/>
        </w:rPr>
        <w:t xml:space="preserve">A </w:t>
      </w:r>
      <w:r>
        <w:t xml:space="preserve">modo ejemplificativo </w:t>
      </w:r>
      <w:r>
        <w:rPr>
          <w:sz w:val="22"/>
        </w:rPr>
        <w:t xml:space="preserve">de </w:t>
      </w:r>
      <w:r>
        <w:t xml:space="preserve">este indicador, </w:t>
      </w:r>
      <w:r>
        <w:rPr>
          <w:sz w:val="22"/>
        </w:rPr>
        <w:t xml:space="preserve">y </w:t>
      </w:r>
      <w:r>
        <w:rPr>
          <w:sz w:val="24"/>
        </w:rPr>
        <w:t xml:space="preserve">la </w:t>
      </w:r>
      <w:r>
        <w:t xml:space="preserve">implementación </w:t>
      </w:r>
      <w:r>
        <w:rPr>
          <w:sz w:val="22"/>
        </w:rPr>
        <w:t xml:space="preserve">de </w:t>
      </w:r>
      <w:r>
        <w:rPr>
          <w:sz w:val="24"/>
        </w:rPr>
        <w:t xml:space="preserve">la </w:t>
      </w:r>
      <w:r>
        <w:t xml:space="preserve">Evaluación Nacional </w:t>
      </w:r>
      <w:r>
        <w:rPr>
          <w:sz w:val="22"/>
        </w:rPr>
        <w:t xml:space="preserve">de Riesgos </w:t>
      </w:r>
      <w:r>
        <w:t xml:space="preserve">en </w:t>
      </w:r>
      <w:r>
        <w:rPr>
          <w:sz w:val="22"/>
        </w:rPr>
        <w:t xml:space="preserve">el </w:t>
      </w:r>
      <w:r>
        <w:t xml:space="preserve">proceso </w:t>
      </w:r>
      <w:r>
        <w:rPr>
          <w:sz w:val="22"/>
        </w:rPr>
        <w:t xml:space="preserve">de </w:t>
      </w:r>
      <w:r>
        <w:t xml:space="preserve">autoevaluación, </w:t>
      </w:r>
      <w:r>
        <w:rPr>
          <w:sz w:val="24"/>
        </w:rPr>
        <w:t xml:space="preserve">se </w:t>
      </w:r>
      <w:r>
        <w:t xml:space="preserve">indica </w:t>
      </w:r>
      <w:proofErr w:type="gramStart"/>
      <w:r>
        <w:t>que</w:t>
      </w:r>
      <w:proofErr w:type="gramEnd"/>
      <w:r>
        <w:t xml:space="preserve"> respecto </w:t>
      </w:r>
      <w:r>
        <w:rPr>
          <w:sz w:val="24"/>
        </w:rPr>
        <w:t xml:space="preserve">al </w:t>
      </w:r>
      <w:r>
        <w:t xml:space="preserve">sector inmobiliario, "se trata </w:t>
      </w:r>
      <w:r>
        <w:rPr>
          <w:sz w:val="22"/>
        </w:rPr>
        <w:t xml:space="preserve">de un sector </w:t>
      </w:r>
      <w:r>
        <w:t xml:space="preserve">que </w:t>
      </w:r>
      <w:r>
        <w:rPr>
          <w:sz w:val="24"/>
        </w:rPr>
        <w:t xml:space="preserve">ha </w:t>
      </w:r>
      <w:r>
        <w:t xml:space="preserve">tenido </w:t>
      </w:r>
      <w:r>
        <w:rPr>
          <w:sz w:val="22"/>
        </w:rPr>
        <w:t xml:space="preserve">un </w:t>
      </w:r>
      <w:r>
        <w:t xml:space="preserve">notable </w:t>
      </w:r>
      <w:proofErr w:type="spellStart"/>
      <w:r>
        <w:t>desarro</w:t>
      </w:r>
      <w:proofErr w:type="spellEnd"/>
      <w:r>
        <w:t xml:space="preserve">//o </w:t>
      </w:r>
      <w:r>
        <w:rPr>
          <w:sz w:val="22"/>
        </w:rPr>
        <w:t xml:space="preserve">en los </w:t>
      </w:r>
      <w:r>
        <w:t xml:space="preserve">últimos años, acompañando </w:t>
      </w:r>
      <w:r>
        <w:rPr>
          <w:sz w:val="22"/>
        </w:rPr>
        <w:t xml:space="preserve">e/ </w:t>
      </w:r>
      <w:r>
        <w:t xml:space="preserve">crecimiento </w:t>
      </w:r>
      <w:r>
        <w:rPr>
          <w:sz w:val="22"/>
        </w:rPr>
        <w:t xml:space="preserve">de/ </w:t>
      </w:r>
      <w:r>
        <w:t xml:space="preserve">país. Sin embargo, </w:t>
      </w:r>
      <w:r>
        <w:rPr>
          <w:sz w:val="22"/>
        </w:rPr>
        <w:t xml:space="preserve">la presencia de actores </w:t>
      </w:r>
      <w:r>
        <w:t xml:space="preserve">extranjeros </w:t>
      </w:r>
      <w:r>
        <w:rPr>
          <w:sz w:val="22"/>
        </w:rPr>
        <w:t xml:space="preserve">que </w:t>
      </w:r>
      <w:r>
        <w:t xml:space="preserve">invierten </w:t>
      </w:r>
      <w:r>
        <w:rPr>
          <w:sz w:val="22"/>
        </w:rPr>
        <w:t xml:space="preserve">sumas </w:t>
      </w:r>
      <w:r>
        <w:t xml:space="preserve">considerables </w:t>
      </w:r>
      <w:r>
        <w:rPr>
          <w:sz w:val="22"/>
        </w:rPr>
        <w:t xml:space="preserve">de </w:t>
      </w:r>
      <w:r>
        <w:t xml:space="preserve">dinero </w:t>
      </w:r>
      <w:r>
        <w:rPr>
          <w:sz w:val="22"/>
        </w:rPr>
        <w:t xml:space="preserve">en </w:t>
      </w:r>
      <w:r>
        <w:rPr>
          <w:sz w:val="24"/>
        </w:rPr>
        <w:t xml:space="preserve">e/ </w:t>
      </w:r>
      <w:r>
        <w:t xml:space="preserve">mismo, </w:t>
      </w:r>
      <w:r>
        <w:rPr>
          <w:sz w:val="22"/>
        </w:rPr>
        <w:t xml:space="preserve">hace </w:t>
      </w:r>
      <w:r>
        <w:t xml:space="preserve">que, sin dejar </w:t>
      </w:r>
      <w:r>
        <w:rPr>
          <w:sz w:val="22"/>
        </w:rPr>
        <w:t xml:space="preserve">de </w:t>
      </w:r>
      <w:r>
        <w:t xml:space="preserve">estimular actividades </w:t>
      </w:r>
      <w:r>
        <w:rPr>
          <w:sz w:val="22"/>
        </w:rPr>
        <w:t xml:space="preserve">que son </w:t>
      </w:r>
      <w:r>
        <w:t xml:space="preserve">beneficiosas </w:t>
      </w:r>
      <w:r>
        <w:rPr>
          <w:sz w:val="22"/>
        </w:rPr>
        <w:t xml:space="preserve">para </w:t>
      </w:r>
      <w:r>
        <w:rPr>
          <w:sz w:val="24"/>
        </w:rPr>
        <w:t>e/</w:t>
      </w:r>
      <w:r>
        <w:rPr>
          <w:sz w:val="22"/>
        </w:rPr>
        <w:t xml:space="preserve">país, </w:t>
      </w:r>
      <w:r>
        <w:rPr>
          <w:sz w:val="26"/>
        </w:rPr>
        <w:t xml:space="preserve">se </w:t>
      </w:r>
      <w:r w:rsidRPr="00FC457F">
        <w:rPr>
          <w:highlight w:val="yellow"/>
        </w:rPr>
        <w:t>realicen estudios específicos</w:t>
      </w:r>
      <w:r>
        <w:t xml:space="preserve"> </w:t>
      </w:r>
      <w:r>
        <w:rPr>
          <w:sz w:val="22"/>
        </w:rPr>
        <w:t xml:space="preserve">para </w:t>
      </w:r>
      <w:r>
        <w:t xml:space="preserve">determinar </w:t>
      </w:r>
      <w:r>
        <w:rPr>
          <w:sz w:val="24"/>
        </w:rPr>
        <w:t xml:space="preserve">su </w:t>
      </w:r>
      <w:r>
        <w:t xml:space="preserve">posible </w:t>
      </w:r>
      <w:r>
        <w:rPr>
          <w:sz w:val="18"/>
        </w:rPr>
        <w:t xml:space="preserve">utilización </w:t>
      </w:r>
      <w:r>
        <w:rPr>
          <w:sz w:val="22"/>
        </w:rPr>
        <w:t xml:space="preserve">para </w:t>
      </w:r>
      <w:r>
        <w:t xml:space="preserve">la comisión </w:t>
      </w:r>
      <w:r>
        <w:rPr>
          <w:sz w:val="22"/>
        </w:rPr>
        <w:t xml:space="preserve">de </w:t>
      </w:r>
      <w:r>
        <w:t xml:space="preserve">ilícitos </w:t>
      </w:r>
      <w:r>
        <w:rPr>
          <w:sz w:val="32"/>
        </w:rPr>
        <w:t xml:space="preserve">y </w:t>
      </w:r>
      <w:r>
        <w:rPr>
          <w:sz w:val="22"/>
        </w:rPr>
        <w:t xml:space="preserve">adoptarlas medidas necesarias para </w:t>
      </w:r>
      <w:proofErr w:type="spellStart"/>
      <w:r>
        <w:rPr>
          <w:sz w:val="26"/>
        </w:rPr>
        <w:t>su</w:t>
      </w:r>
      <w:r>
        <w:t>prevención</w:t>
      </w:r>
      <w:proofErr w:type="spellEnd"/>
      <w:r>
        <w:t xml:space="preserve"> </w:t>
      </w:r>
      <w:r>
        <w:rPr>
          <w:sz w:val="32"/>
        </w:rPr>
        <w:t xml:space="preserve">y </w:t>
      </w:r>
      <w:r>
        <w:t xml:space="preserve">detección". </w:t>
      </w:r>
      <w:r>
        <w:rPr>
          <w:sz w:val="22"/>
        </w:rPr>
        <w:t xml:space="preserve">En ese </w:t>
      </w:r>
      <w:r>
        <w:t xml:space="preserve">contexto, </w:t>
      </w:r>
      <w:r>
        <w:rPr>
          <w:sz w:val="24"/>
        </w:rPr>
        <w:t xml:space="preserve">se </w:t>
      </w:r>
      <w:r>
        <w:t xml:space="preserve">deberían considerar </w:t>
      </w:r>
      <w:r>
        <w:rPr>
          <w:sz w:val="22"/>
        </w:rPr>
        <w:t xml:space="preserve">los </w:t>
      </w:r>
      <w:r>
        <w:t xml:space="preserve">riesgos vinculados </w:t>
      </w:r>
      <w:r>
        <w:rPr>
          <w:sz w:val="28"/>
        </w:rPr>
        <w:t xml:space="preserve">a </w:t>
      </w:r>
      <w:r>
        <w:rPr>
          <w:sz w:val="22"/>
        </w:rPr>
        <w:t xml:space="preserve">los </w:t>
      </w:r>
      <w:r>
        <w:t xml:space="preserve">productos relacionados </w:t>
      </w:r>
      <w:r>
        <w:rPr>
          <w:sz w:val="24"/>
        </w:rPr>
        <w:t xml:space="preserve">al </w:t>
      </w:r>
      <w:r>
        <w:t xml:space="preserve">financiamiento </w:t>
      </w:r>
      <w:r>
        <w:rPr>
          <w:sz w:val="22"/>
        </w:rPr>
        <w:t xml:space="preserve">e </w:t>
      </w:r>
      <w:r>
        <w:t xml:space="preserve">inversión </w:t>
      </w:r>
      <w:r>
        <w:rPr>
          <w:sz w:val="22"/>
        </w:rPr>
        <w:t xml:space="preserve">de estas </w:t>
      </w:r>
      <w:r>
        <w:t>actividades.</w:t>
      </w:r>
    </w:p>
  </w:footnote>
  <w:footnote w:id="3">
    <w:p w14:paraId="5C0F4835" w14:textId="77777777" w:rsidR="00625637" w:rsidRDefault="0087575E">
      <w:pPr>
        <w:pStyle w:val="footnotedescription"/>
        <w:ind w:right="19"/>
      </w:pPr>
      <w:r>
        <w:rPr>
          <w:rStyle w:val="footnotemark"/>
        </w:rPr>
        <w:footnoteRef/>
      </w:r>
      <w:r>
        <w:t xml:space="preserve"> Considerar también </w:t>
      </w:r>
      <w:r>
        <w:rPr>
          <w:sz w:val="22"/>
        </w:rPr>
        <w:t xml:space="preserve">en </w:t>
      </w:r>
      <w:r>
        <w:t xml:space="preserve">este indicador </w:t>
      </w:r>
      <w:r>
        <w:rPr>
          <w:sz w:val="26"/>
        </w:rPr>
        <w:t xml:space="preserve">a </w:t>
      </w:r>
      <w:r>
        <w:rPr>
          <w:sz w:val="22"/>
        </w:rPr>
        <w:t xml:space="preserve">los </w:t>
      </w:r>
      <w:r>
        <w:t xml:space="preserve">ciudadanos </w:t>
      </w:r>
      <w:r>
        <w:rPr>
          <w:sz w:val="22"/>
        </w:rPr>
        <w:t xml:space="preserve">de </w:t>
      </w:r>
      <w:r>
        <w:t xml:space="preserve">nacionalidades </w:t>
      </w:r>
      <w:r>
        <w:rPr>
          <w:sz w:val="22"/>
        </w:rPr>
        <w:t xml:space="preserve">de países </w:t>
      </w:r>
      <w:r>
        <w:t xml:space="preserve">sobre </w:t>
      </w:r>
      <w:r>
        <w:rPr>
          <w:sz w:val="22"/>
        </w:rPr>
        <w:t xml:space="preserve">los </w:t>
      </w:r>
      <w:r>
        <w:t xml:space="preserve">que rigen sanciones económicas por parte </w:t>
      </w:r>
      <w:r>
        <w:rPr>
          <w:sz w:val="22"/>
        </w:rPr>
        <w:t xml:space="preserve">de </w:t>
      </w:r>
      <w:r>
        <w:t xml:space="preserve">organismos internacionales, </w:t>
      </w:r>
      <w:r>
        <w:rPr>
          <w:sz w:val="22"/>
        </w:rPr>
        <w:t xml:space="preserve">o </w:t>
      </w:r>
      <w:r>
        <w:t xml:space="preserve">aquellos designados </w:t>
      </w:r>
      <w:r>
        <w:rPr>
          <w:sz w:val="22"/>
        </w:rPr>
        <w:t xml:space="preserve">en </w:t>
      </w:r>
      <w:r>
        <w:rPr>
          <w:sz w:val="24"/>
        </w:rPr>
        <w:t xml:space="preserve">las </w:t>
      </w:r>
      <w:r>
        <w:t xml:space="preserve">diversas listas públicas </w:t>
      </w:r>
      <w:r>
        <w:rPr>
          <w:sz w:val="22"/>
        </w:rPr>
        <w:t xml:space="preserve">de </w:t>
      </w:r>
      <w:r>
        <w:t xml:space="preserve">sanciones financieras relacionadas </w:t>
      </w:r>
      <w:r>
        <w:rPr>
          <w:sz w:val="24"/>
        </w:rPr>
        <w:t xml:space="preserve">al </w:t>
      </w:r>
      <w:r>
        <w:t xml:space="preserve">terrorismo </w:t>
      </w:r>
      <w:r>
        <w:rPr>
          <w:sz w:val="24"/>
        </w:rPr>
        <w:t xml:space="preserve">y </w:t>
      </w:r>
      <w:r>
        <w:rPr>
          <w:sz w:val="22"/>
        </w:rPr>
        <w:t xml:space="preserve">su </w:t>
      </w:r>
      <w:r>
        <w:t>financiamiento.</w:t>
      </w:r>
    </w:p>
  </w:footnote>
  <w:footnote w:id="4">
    <w:p w14:paraId="515209A5" w14:textId="77777777" w:rsidR="00625637" w:rsidRDefault="0087575E">
      <w:pPr>
        <w:pStyle w:val="footnotedescription"/>
        <w:spacing w:after="213" w:line="222" w:lineRule="auto"/>
      </w:pPr>
      <w:r>
        <w:rPr>
          <w:rStyle w:val="footnotemark"/>
        </w:rPr>
        <w:footnoteRef/>
      </w:r>
      <w:r>
        <w:t xml:space="preserve"> </w:t>
      </w:r>
      <w:r>
        <w:rPr>
          <w:sz w:val="22"/>
        </w:rPr>
        <w:t xml:space="preserve">Al </w:t>
      </w:r>
      <w:r>
        <w:t xml:space="preserve">hablar </w:t>
      </w:r>
      <w:r>
        <w:rPr>
          <w:sz w:val="22"/>
        </w:rPr>
        <w:t xml:space="preserve">de </w:t>
      </w:r>
      <w:r>
        <w:t xml:space="preserve">actividades comunes </w:t>
      </w:r>
      <w:r>
        <w:rPr>
          <w:sz w:val="26"/>
        </w:rPr>
        <w:t xml:space="preserve">a </w:t>
      </w:r>
      <w:r>
        <w:rPr>
          <w:sz w:val="24"/>
        </w:rPr>
        <w:t xml:space="preserve">la </w:t>
      </w:r>
      <w:r>
        <w:t xml:space="preserve">zona, </w:t>
      </w:r>
      <w:r>
        <w:rPr>
          <w:sz w:val="24"/>
        </w:rPr>
        <w:t xml:space="preserve">se </w:t>
      </w:r>
      <w:r>
        <w:rPr>
          <w:sz w:val="22"/>
        </w:rPr>
        <w:t xml:space="preserve">hace </w:t>
      </w:r>
      <w:r>
        <w:t xml:space="preserve">referencia </w:t>
      </w:r>
      <w:r>
        <w:rPr>
          <w:sz w:val="26"/>
        </w:rPr>
        <w:t xml:space="preserve">a </w:t>
      </w:r>
      <w:r>
        <w:rPr>
          <w:sz w:val="24"/>
        </w:rPr>
        <w:t xml:space="preserve">la </w:t>
      </w:r>
      <w:r>
        <w:t>ganadería, agricultura, comercio exterior, entre otros.</w:t>
      </w:r>
    </w:p>
  </w:footnote>
  <w:footnote w:id="5">
    <w:p w14:paraId="5348EA76" w14:textId="77777777" w:rsidR="00625637" w:rsidRDefault="0087575E">
      <w:pPr>
        <w:pStyle w:val="footnotedescription"/>
        <w:ind w:left="576" w:hanging="432"/>
      </w:pPr>
      <w:r>
        <w:rPr>
          <w:rStyle w:val="footnotemark"/>
        </w:rPr>
        <w:footnoteRef/>
      </w:r>
      <w:r>
        <w:t xml:space="preserve"> </w:t>
      </w:r>
      <w:r>
        <w:rPr>
          <w:sz w:val="22"/>
        </w:rPr>
        <w:t xml:space="preserve">Por </w:t>
      </w:r>
      <w:r>
        <w:t xml:space="preserve">ejemplo, estadísticas emitidas por organismos </w:t>
      </w:r>
      <w:r>
        <w:rPr>
          <w:sz w:val="22"/>
        </w:rPr>
        <w:t xml:space="preserve">y </w:t>
      </w:r>
      <w:r>
        <w:t xml:space="preserve">entidades gubernamentales oficiales, obrantes en fuentes públicas, </w:t>
      </w:r>
      <w:r>
        <w:rPr>
          <w:sz w:val="22"/>
        </w:rPr>
        <w:t xml:space="preserve">o zonas </w:t>
      </w:r>
      <w:r>
        <w:t xml:space="preserve">específicas indicadas </w:t>
      </w:r>
      <w:r>
        <w:rPr>
          <w:sz w:val="22"/>
        </w:rPr>
        <w:t xml:space="preserve">en </w:t>
      </w:r>
      <w:r>
        <w:rPr>
          <w:sz w:val="24"/>
        </w:rPr>
        <w:t xml:space="preserve">la </w:t>
      </w:r>
      <w:r>
        <w:t xml:space="preserve">Evaluación Nacional </w:t>
      </w:r>
      <w:r>
        <w:rPr>
          <w:sz w:val="22"/>
        </w:rPr>
        <w:t>de Riesgos.</w:t>
      </w:r>
    </w:p>
  </w:footnote>
  <w:footnote w:id="6">
    <w:p w14:paraId="2F57A3CF" w14:textId="77777777" w:rsidR="00625637" w:rsidRDefault="0087575E">
      <w:pPr>
        <w:pStyle w:val="footnotedescription"/>
        <w:ind w:left="576" w:hanging="432"/>
      </w:pPr>
      <w:r>
        <w:rPr>
          <w:rStyle w:val="footnotemark"/>
        </w:rPr>
        <w:footnoteRef/>
      </w:r>
      <w:r>
        <w:t xml:space="preserve"> </w:t>
      </w:r>
      <w:r>
        <w:rPr>
          <w:sz w:val="24"/>
        </w:rPr>
        <w:t xml:space="preserve">Se </w:t>
      </w:r>
      <w:r>
        <w:t xml:space="preserve">deben tomar como características del producto </w:t>
      </w:r>
      <w:r>
        <w:rPr>
          <w:sz w:val="24"/>
        </w:rPr>
        <w:t xml:space="preserve">si </w:t>
      </w:r>
      <w:r>
        <w:t xml:space="preserve">estos facilitan </w:t>
      </w:r>
      <w:r>
        <w:rPr>
          <w:sz w:val="22"/>
        </w:rPr>
        <w:t xml:space="preserve">un </w:t>
      </w:r>
      <w:r>
        <w:t xml:space="preserve">mayor grado </w:t>
      </w:r>
      <w:r>
        <w:rPr>
          <w:sz w:val="22"/>
        </w:rPr>
        <w:t xml:space="preserve">de </w:t>
      </w:r>
      <w:r>
        <w:t xml:space="preserve">anonimato, falta </w:t>
      </w:r>
      <w:r>
        <w:rPr>
          <w:sz w:val="22"/>
        </w:rPr>
        <w:t xml:space="preserve">de </w:t>
      </w:r>
      <w:r>
        <w:t xml:space="preserve">identificación del cliente </w:t>
      </w:r>
      <w:r>
        <w:rPr>
          <w:sz w:val="22"/>
        </w:rPr>
        <w:t xml:space="preserve">o de </w:t>
      </w:r>
      <w:r>
        <w:t xml:space="preserve">alguna persona involucrada </w:t>
      </w:r>
      <w:r>
        <w:rPr>
          <w:sz w:val="22"/>
        </w:rPr>
        <w:t xml:space="preserve">en la </w:t>
      </w:r>
      <w:r>
        <w:t>operación, entre otros.</w:t>
      </w:r>
    </w:p>
  </w:footnote>
  <w:footnote w:id="7">
    <w:p w14:paraId="5034081A" w14:textId="77777777" w:rsidR="00625637" w:rsidRDefault="0087575E" w:rsidP="008F4B22">
      <w:pPr>
        <w:pStyle w:val="footnotedescription"/>
        <w:ind w:left="142" w:right="134" w:firstLine="21"/>
        <w:jc w:val="left"/>
      </w:pPr>
      <w:r>
        <w:rPr>
          <w:rStyle w:val="footnotemark"/>
        </w:rPr>
        <w:footnoteRef/>
      </w:r>
      <w:r>
        <w:t xml:space="preserve"> </w:t>
      </w:r>
      <w:r>
        <w:rPr>
          <w:sz w:val="26"/>
        </w:rPr>
        <w:t xml:space="preserve">El </w:t>
      </w:r>
      <w:r>
        <w:t xml:space="preserve">carácter </w:t>
      </w:r>
      <w:r>
        <w:rPr>
          <w:sz w:val="22"/>
        </w:rPr>
        <w:t xml:space="preserve">de </w:t>
      </w:r>
      <w:r>
        <w:rPr>
          <w:sz w:val="24"/>
        </w:rPr>
        <w:t xml:space="preserve">la </w:t>
      </w:r>
      <w:r>
        <w:t xml:space="preserve">relación puede </w:t>
      </w:r>
      <w:r>
        <w:rPr>
          <w:sz w:val="22"/>
        </w:rPr>
        <w:t xml:space="preserve">ser </w:t>
      </w:r>
      <w:r>
        <w:t xml:space="preserve">determinado por factores como </w:t>
      </w:r>
      <w:r>
        <w:rPr>
          <w:sz w:val="22"/>
        </w:rPr>
        <w:t xml:space="preserve">la </w:t>
      </w:r>
      <w:r>
        <w:t xml:space="preserve">periodicidad con </w:t>
      </w:r>
      <w:r>
        <w:rPr>
          <w:sz w:val="24"/>
        </w:rPr>
        <w:t xml:space="preserve">la </w:t>
      </w:r>
      <w:r>
        <w:t xml:space="preserve">que opera </w:t>
      </w:r>
      <w:r>
        <w:rPr>
          <w:sz w:val="22"/>
        </w:rPr>
        <w:t xml:space="preserve">el </w:t>
      </w:r>
      <w:r>
        <w:t xml:space="preserve">cliente. </w:t>
      </w:r>
      <w:r w:rsidRPr="008F4B22">
        <w:rPr>
          <w:szCs w:val="20"/>
        </w:rPr>
        <w:t>De</w:t>
      </w:r>
      <w:r>
        <w:rPr>
          <w:sz w:val="22"/>
        </w:rPr>
        <w:t xml:space="preserve"> </w:t>
      </w:r>
      <w:r>
        <w:t xml:space="preserve">manera ejemplificativa, </w:t>
      </w:r>
      <w:r>
        <w:rPr>
          <w:sz w:val="26"/>
        </w:rPr>
        <w:t xml:space="preserve">si </w:t>
      </w:r>
      <w:r>
        <w:rPr>
          <w:sz w:val="24"/>
        </w:rPr>
        <w:t xml:space="preserve">la </w:t>
      </w:r>
      <w:r>
        <w:t xml:space="preserve">operativa </w:t>
      </w:r>
      <w:r>
        <w:rPr>
          <w:sz w:val="24"/>
        </w:rPr>
        <w:t xml:space="preserve">es </w:t>
      </w:r>
      <w:r>
        <w:t xml:space="preserve">continua </w:t>
      </w:r>
      <w:r>
        <w:rPr>
          <w:sz w:val="22"/>
        </w:rPr>
        <w:t xml:space="preserve">o </w:t>
      </w:r>
      <w:r>
        <w:t xml:space="preserve">periódica, </w:t>
      </w:r>
      <w:r>
        <w:rPr>
          <w:sz w:val="24"/>
        </w:rPr>
        <w:t xml:space="preserve">se </w:t>
      </w:r>
      <w:r>
        <w:t xml:space="preserve">puede catalogar </w:t>
      </w:r>
      <w:r>
        <w:rPr>
          <w:sz w:val="22"/>
        </w:rPr>
        <w:t xml:space="preserve">al </w:t>
      </w:r>
      <w:r>
        <w:t>cliente como permanente.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FF5D3" w14:textId="77777777" w:rsidR="00625637" w:rsidRDefault="0087575E">
    <w:pPr>
      <w:spacing w:after="0" w:line="259" w:lineRule="auto"/>
      <w:ind w:left="0" w:right="-662" w:firstLine="0"/>
      <w:jc w:val="right"/>
    </w:pPr>
    <w:r>
      <w:fldChar w:fldCharType="begin"/>
    </w:r>
    <w:r>
      <w:instrText xml:space="preserve"> PAGE   \* MERGEFORMAT </w:instrText>
    </w:r>
    <w:r>
      <w:fldChar w:fldCharType="separate"/>
    </w:r>
    <w:r>
      <w:rPr>
        <w:sz w:val="42"/>
      </w:rPr>
      <w:t>1 1</w:t>
    </w:r>
    <w:r>
      <w:rPr>
        <w:sz w:val="4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1DA47" w14:textId="77777777" w:rsidR="00625637" w:rsidRDefault="0087575E">
    <w:pPr>
      <w:spacing w:after="0" w:line="259" w:lineRule="auto"/>
      <w:ind w:left="0" w:right="-662" w:firstLine="0"/>
      <w:jc w:val="right"/>
    </w:pPr>
    <w:r>
      <w:fldChar w:fldCharType="begin"/>
    </w:r>
    <w:r>
      <w:instrText xml:space="preserve"> PAGE   \* MERGEFORMAT </w:instrText>
    </w:r>
    <w:r>
      <w:fldChar w:fldCharType="separate"/>
    </w:r>
    <w:r>
      <w:rPr>
        <w:sz w:val="42"/>
      </w:rPr>
      <w:t>1 1</w:t>
    </w:r>
    <w:r>
      <w:rPr>
        <w:sz w:val="4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DE374" w14:textId="77777777" w:rsidR="00625637" w:rsidRDefault="0087575E">
    <w:pPr>
      <w:spacing w:after="0" w:line="259" w:lineRule="auto"/>
      <w:ind w:left="0" w:right="-662" w:firstLine="0"/>
      <w:jc w:val="right"/>
    </w:pPr>
    <w:r>
      <w:fldChar w:fldCharType="begin"/>
    </w:r>
    <w:r>
      <w:instrText xml:space="preserve"> PAGE   \* MERGEFORMAT </w:instrText>
    </w:r>
    <w:r>
      <w:fldChar w:fldCharType="separate"/>
    </w:r>
    <w:r>
      <w:rPr>
        <w:sz w:val="42"/>
      </w:rPr>
      <w:t>1 1</w:t>
    </w:r>
    <w:r>
      <w:rPr>
        <w:sz w:val="42"/>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5241F" w14:textId="77777777" w:rsidR="00625637" w:rsidRDefault="00625637">
    <w:pPr>
      <w:spacing w:after="160" w:line="259" w:lineRule="auto"/>
      <w:ind w:left="0" w:firstLine="0"/>
      <w:jc w:val="lef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E7C92" w14:textId="77777777" w:rsidR="00625637" w:rsidRDefault="00625637">
    <w:pPr>
      <w:spacing w:after="160" w:line="259" w:lineRule="auto"/>
      <w:ind w:left="0" w:firstLine="0"/>
      <w:jc w:val="lef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549B7" w14:textId="77777777" w:rsidR="00625637" w:rsidRDefault="00625637">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1114" style="width:5.25pt;height:.75pt" coordsize="" o:spt="100" o:bullet="t" adj="0,,0" path="" stroked="f">
        <v:stroke joinstyle="miter"/>
        <v:imagedata r:id="rId1" o:title="image27"/>
        <v:formulas/>
        <v:path o:connecttype="segments"/>
      </v:shape>
    </w:pict>
  </w:numPicBullet>
  <w:numPicBullet w:numPicBulletId="1">
    <w:pict>
      <v:shape id="_x0000_i1115" style="width:5.25pt;height:.75pt" coordsize="" o:spt="100" o:bullet="t" adj="0,,0" path="" stroked="f">
        <v:stroke joinstyle="miter"/>
        <v:imagedata r:id="rId2" o:title="image28"/>
        <v:formulas/>
        <v:path o:connecttype="segments"/>
      </v:shape>
    </w:pict>
  </w:numPicBullet>
  <w:numPicBullet w:numPicBulletId="2">
    <w:pict>
      <v:shape id="_x0000_i1116" style="width:5.25pt;height:.75pt" coordsize="" o:spt="100" o:bullet="t" adj="0,,0" path="" stroked="f">
        <v:stroke joinstyle="miter"/>
        <v:imagedata r:id="rId3" o:title="image29"/>
        <v:formulas/>
        <v:path o:connecttype="segments"/>
      </v:shape>
    </w:pict>
  </w:numPicBullet>
  <w:numPicBullet w:numPicBulletId="3">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7" type="#_x0000_t75" style="width:14.25pt;height:9.75pt;visibility:visible;mso-wrap-style:square" o:bullet="t">
        <v:imagedata r:id="rId4" o:title=""/>
      </v:shape>
    </w:pict>
  </w:numPicBullet>
  <w:abstractNum w:abstractNumId="0" w15:restartNumberingAfterBreak="0">
    <w:nsid w:val="014D1D47"/>
    <w:multiLevelType w:val="hybridMultilevel"/>
    <w:tmpl w:val="ECF078CE"/>
    <w:lvl w:ilvl="0" w:tplc="080A0001">
      <w:start w:val="1"/>
      <w:numFmt w:val="bullet"/>
      <w:lvlText w:val=""/>
      <w:lvlJc w:val="left"/>
      <w:pPr>
        <w:ind w:left="2136" w:hanging="360"/>
      </w:pPr>
      <w:rPr>
        <w:rFonts w:ascii="Symbol" w:hAnsi="Symbol" w:hint="default"/>
      </w:rPr>
    </w:lvl>
    <w:lvl w:ilvl="1" w:tplc="080A0003" w:tentative="1">
      <w:start w:val="1"/>
      <w:numFmt w:val="bullet"/>
      <w:lvlText w:val="o"/>
      <w:lvlJc w:val="left"/>
      <w:pPr>
        <w:ind w:left="2856" w:hanging="360"/>
      </w:pPr>
      <w:rPr>
        <w:rFonts w:ascii="Courier New" w:hAnsi="Courier New" w:cs="Courier New" w:hint="default"/>
      </w:rPr>
    </w:lvl>
    <w:lvl w:ilvl="2" w:tplc="080A0005" w:tentative="1">
      <w:start w:val="1"/>
      <w:numFmt w:val="bullet"/>
      <w:lvlText w:val=""/>
      <w:lvlJc w:val="left"/>
      <w:pPr>
        <w:ind w:left="3576" w:hanging="360"/>
      </w:pPr>
      <w:rPr>
        <w:rFonts w:ascii="Wingdings" w:hAnsi="Wingdings" w:hint="default"/>
      </w:rPr>
    </w:lvl>
    <w:lvl w:ilvl="3" w:tplc="080A0001" w:tentative="1">
      <w:start w:val="1"/>
      <w:numFmt w:val="bullet"/>
      <w:lvlText w:val=""/>
      <w:lvlJc w:val="left"/>
      <w:pPr>
        <w:ind w:left="4296" w:hanging="360"/>
      </w:pPr>
      <w:rPr>
        <w:rFonts w:ascii="Symbol" w:hAnsi="Symbol" w:hint="default"/>
      </w:rPr>
    </w:lvl>
    <w:lvl w:ilvl="4" w:tplc="080A0003" w:tentative="1">
      <w:start w:val="1"/>
      <w:numFmt w:val="bullet"/>
      <w:lvlText w:val="o"/>
      <w:lvlJc w:val="left"/>
      <w:pPr>
        <w:ind w:left="5016" w:hanging="360"/>
      </w:pPr>
      <w:rPr>
        <w:rFonts w:ascii="Courier New" w:hAnsi="Courier New" w:cs="Courier New" w:hint="default"/>
      </w:rPr>
    </w:lvl>
    <w:lvl w:ilvl="5" w:tplc="080A0005" w:tentative="1">
      <w:start w:val="1"/>
      <w:numFmt w:val="bullet"/>
      <w:lvlText w:val=""/>
      <w:lvlJc w:val="left"/>
      <w:pPr>
        <w:ind w:left="5736" w:hanging="360"/>
      </w:pPr>
      <w:rPr>
        <w:rFonts w:ascii="Wingdings" w:hAnsi="Wingdings" w:hint="default"/>
      </w:rPr>
    </w:lvl>
    <w:lvl w:ilvl="6" w:tplc="080A0001" w:tentative="1">
      <w:start w:val="1"/>
      <w:numFmt w:val="bullet"/>
      <w:lvlText w:val=""/>
      <w:lvlJc w:val="left"/>
      <w:pPr>
        <w:ind w:left="6456" w:hanging="360"/>
      </w:pPr>
      <w:rPr>
        <w:rFonts w:ascii="Symbol" w:hAnsi="Symbol" w:hint="default"/>
      </w:rPr>
    </w:lvl>
    <w:lvl w:ilvl="7" w:tplc="080A0003" w:tentative="1">
      <w:start w:val="1"/>
      <w:numFmt w:val="bullet"/>
      <w:lvlText w:val="o"/>
      <w:lvlJc w:val="left"/>
      <w:pPr>
        <w:ind w:left="7176" w:hanging="360"/>
      </w:pPr>
      <w:rPr>
        <w:rFonts w:ascii="Courier New" w:hAnsi="Courier New" w:cs="Courier New" w:hint="default"/>
      </w:rPr>
    </w:lvl>
    <w:lvl w:ilvl="8" w:tplc="080A0005" w:tentative="1">
      <w:start w:val="1"/>
      <w:numFmt w:val="bullet"/>
      <w:lvlText w:val=""/>
      <w:lvlJc w:val="left"/>
      <w:pPr>
        <w:ind w:left="7896" w:hanging="360"/>
      </w:pPr>
      <w:rPr>
        <w:rFonts w:ascii="Wingdings" w:hAnsi="Wingdings" w:hint="default"/>
      </w:rPr>
    </w:lvl>
  </w:abstractNum>
  <w:abstractNum w:abstractNumId="1" w15:restartNumberingAfterBreak="0">
    <w:nsid w:val="1269794F"/>
    <w:multiLevelType w:val="hybridMultilevel"/>
    <w:tmpl w:val="59D24772"/>
    <w:lvl w:ilvl="0" w:tplc="6B54FCE8">
      <w:start w:val="1"/>
      <w:numFmt w:val="bullet"/>
      <w:lvlText w:val="-"/>
      <w:lvlJc w:val="left"/>
      <w:pPr>
        <w:ind w:left="2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9C2203E">
      <w:start w:val="1"/>
      <w:numFmt w:val="bullet"/>
      <w:lvlText w:val="o"/>
      <w:lvlJc w:val="left"/>
      <w:pPr>
        <w:ind w:left="12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BA8A716">
      <w:start w:val="1"/>
      <w:numFmt w:val="bullet"/>
      <w:lvlText w:val="▪"/>
      <w:lvlJc w:val="left"/>
      <w:pPr>
        <w:ind w:left="19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0E63314">
      <w:start w:val="1"/>
      <w:numFmt w:val="bullet"/>
      <w:lvlText w:val="•"/>
      <w:lvlJc w:val="left"/>
      <w:pPr>
        <w:ind w:left="26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E86768C">
      <w:start w:val="1"/>
      <w:numFmt w:val="bullet"/>
      <w:lvlText w:val="o"/>
      <w:lvlJc w:val="left"/>
      <w:pPr>
        <w:ind w:left="33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9A6FD9E">
      <w:start w:val="1"/>
      <w:numFmt w:val="bullet"/>
      <w:lvlText w:val="▪"/>
      <w:lvlJc w:val="left"/>
      <w:pPr>
        <w:ind w:left="41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782DB06">
      <w:start w:val="1"/>
      <w:numFmt w:val="bullet"/>
      <w:lvlText w:val="•"/>
      <w:lvlJc w:val="left"/>
      <w:pPr>
        <w:ind w:left="48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00AD6E2">
      <w:start w:val="1"/>
      <w:numFmt w:val="bullet"/>
      <w:lvlText w:val="o"/>
      <w:lvlJc w:val="left"/>
      <w:pPr>
        <w:ind w:left="55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BEC6842">
      <w:start w:val="1"/>
      <w:numFmt w:val="bullet"/>
      <w:lvlText w:val="▪"/>
      <w:lvlJc w:val="left"/>
      <w:pPr>
        <w:ind w:left="6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8EA6F1A"/>
    <w:multiLevelType w:val="hybridMultilevel"/>
    <w:tmpl w:val="EBCCB164"/>
    <w:lvl w:ilvl="0" w:tplc="C58ACA24">
      <w:start w:val="1"/>
      <w:numFmt w:val="bullet"/>
      <w:lvlText w:val="•"/>
      <w:lvlPicBulletId w:val="1"/>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FFC1F3C">
      <w:start w:val="1"/>
      <w:numFmt w:val="bullet"/>
      <w:lvlText w:val="o"/>
      <w:lvlJc w:val="left"/>
      <w:pPr>
        <w:ind w:left="17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0CA639A">
      <w:start w:val="1"/>
      <w:numFmt w:val="bullet"/>
      <w:lvlText w:val="▪"/>
      <w:lvlJc w:val="left"/>
      <w:pPr>
        <w:ind w:left="25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6E6AE44">
      <w:start w:val="1"/>
      <w:numFmt w:val="bullet"/>
      <w:lvlText w:val="•"/>
      <w:lvlJc w:val="left"/>
      <w:pPr>
        <w:ind w:left="32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3849A6A">
      <w:start w:val="1"/>
      <w:numFmt w:val="bullet"/>
      <w:lvlText w:val="o"/>
      <w:lvlJc w:val="left"/>
      <w:pPr>
        <w:ind w:left="39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0925D1C">
      <w:start w:val="1"/>
      <w:numFmt w:val="bullet"/>
      <w:lvlText w:val="▪"/>
      <w:lvlJc w:val="left"/>
      <w:pPr>
        <w:ind w:left="46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CC04A16">
      <w:start w:val="1"/>
      <w:numFmt w:val="bullet"/>
      <w:lvlText w:val="•"/>
      <w:lvlJc w:val="left"/>
      <w:pPr>
        <w:ind w:left="53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98A9112">
      <w:start w:val="1"/>
      <w:numFmt w:val="bullet"/>
      <w:lvlText w:val="o"/>
      <w:lvlJc w:val="left"/>
      <w:pPr>
        <w:ind w:left="61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22C33EA">
      <w:start w:val="1"/>
      <w:numFmt w:val="bullet"/>
      <w:lvlText w:val="▪"/>
      <w:lvlJc w:val="left"/>
      <w:pPr>
        <w:ind w:left="68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1DA620D0"/>
    <w:multiLevelType w:val="hybridMultilevel"/>
    <w:tmpl w:val="1E9CA586"/>
    <w:lvl w:ilvl="0" w:tplc="758AAA0A">
      <w:start w:val="1"/>
      <w:numFmt w:val="bullet"/>
      <w:lvlText w:val=""/>
      <w:lvlPicBulletId w:val="3"/>
      <w:lvlJc w:val="left"/>
      <w:pPr>
        <w:tabs>
          <w:tab w:val="num" w:pos="720"/>
        </w:tabs>
        <w:ind w:left="720" w:hanging="360"/>
      </w:pPr>
      <w:rPr>
        <w:rFonts w:ascii="Symbol" w:hAnsi="Symbol" w:hint="default"/>
      </w:rPr>
    </w:lvl>
    <w:lvl w:ilvl="1" w:tplc="DA0CB5C2" w:tentative="1">
      <w:start w:val="1"/>
      <w:numFmt w:val="bullet"/>
      <w:lvlText w:val=""/>
      <w:lvlJc w:val="left"/>
      <w:pPr>
        <w:tabs>
          <w:tab w:val="num" w:pos="1440"/>
        </w:tabs>
        <w:ind w:left="1440" w:hanging="360"/>
      </w:pPr>
      <w:rPr>
        <w:rFonts w:ascii="Symbol" w:hAnsi="Symbol" w:hint="default"/>
      </w:rPr>
    </w:lvl>
    <w:lvl w:ilvl="2" w:tplc="5888B50A" w:tentative="1">
      <w:start w:val="1"/>
      <w:numFmt w:val="bullet"/>
      <w:lvlText w:val=""/>
      <w:lvlJc w:val="left"/>
      <w:pPr>
        <w:tabs>
          <w:tab w:val="num" w:pos="2160"/>
        </w:tabs>
        <w:ind w:left="2160" w:hanging="360"/>
      </w:pPr>
      <w:rPr>
        <w:rFonts w:ascii="Symbol" w:hAnsi="Symbol" w:hint="default"/>
      </w:rPr>
    </w:lvl>
    <w:lvl w:ilvl="3" w:tplc="B8B20D0A" w:tentative="1">
      <w:start w:val="1"/>
      <w:numFmt w:val="bullet"/>
      <w:lvlText w:val=""/>
      <w:lvlJc w:val="left"/>
      <w:pPr>
        <w:tabs>
          <w:tab w:val="num" w:pos="2880"/>
        </w:tabs>
        <w:ind w:left="2880" w:hanging="360"/>
      </w:pPr>
      <w:rPr>
        <w:rFonts w:ascii="Symbol" w:hAnsi="Symbol" w:hint="default"/>
      </w:rPr>
    </w:lvl>
    <w:lvl w:ilvl="4" w:tplc="B65A1762" w:tentative="1">
      <w:start w:val="1"/>
      <w:numFmt w:val="bullet"/>
      <w:lvlText w:val=""/>
      <w:lvlJc w:val="left"/>
      <w:pPr>
        <w:tabs>
          <w:tab w:val="num" w:pos="3600"/>
        </w:tabs>
        <w:ind w:left="3600" w:hanging="360"/>
      </w:pPr>
      <w:rPr>
        <w:rFonts w:ascii="Symbol" w:hAnsi="Symbol" w:hint="default"/>
      </w:rPr>
    </w:lvl>
    <w:lvl w:ilvl="5" w:tplc="59B4C274" w:tentative="1">
      <w:start w:val="1"/>
      <w:numFmt w:val="bullet"/>
      <w:lvlText w:val=""/>
      <w:lvlJc w:val="left"/>
      <w:pPr>
        <w:tabs>
          <w:tab w:val="num" w:pos="4320"/>
        </w:tabs>
        <w:ind w:left="4320" w:hanging="360"/>
      </w:pPr>
      <w:rPr>
        <w:rFonts w:ascii="Symbol" w:hAnsi="Symbol" w:hint="default"/>
      </w:rPr>
    </w:lvl>
    <w:lvl w:ilvl="6" w:tplc="74BCF20C" w:tentative="1">
      <w:start w:val="1"/>
      <w:numFmt w:val="bullet"/>
      <w:lvlText w:val=""/>
      <w:lvlJc w:val="left"/>
      <w:pPr>
        <w:tabs>
          <w:tab w:val="num" w:pos="5040"/>
        </w:tabs>
        <w:ind w:left="5040" w:hanging="360"/>
      </w:pPr>
      <w:rPr>
        <w:rFonts w:ascii="Symbol" w:hAnsi="Symbol" w:hint="default"/>
      </w:rPr>
    </w:lvl>
    <w:lvl w:ilvl="7" w:tplc="64C4393E" w:tentative="1">
      <w:start w:val="1"/>
      <w:numFmt w:val="bullet"/>
      <w:lvlText w:val=""/>
      <w:lvlJc w:val="left"/>
      <w:pPr>
        <w:tabs>
          <w:tab w:val="num" w:pos="5760"/>
        </w:tabs>
        <w:ind w:left="5760" w:hanging="360"/>
      </w:pPr>
      <w:rPr>
        <w:rFonts w:ascii="Symbol" w:hAnsi="Symbol" w:hint="default"/>
      </w:rPr>
    </w:lvl>
    <w:lvl w:ilvl="8" w:tplc="7F80C644"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1112EFE"/>
    <w:multiLevelType w:val="hybridMultilevel"/>
    <w:tmpl w:val="24842A76"/>
    <w:lvl w:ilvl="0" w:tplc="6BAAB9AC">
      <w:start w:val="1"/>
      <w:numFmt w:val="lowerLetter"/>
      <w:lvlText w:val="%1."/>
      <w:lvlJc w:val="left"/>
      <w:pPr>
        <w:ind w:left="1094"/>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1" w:tplc="85CEDA12">
      <w:start w:val="1"/>
      <w:numFmt w:val="lowerLetter"/>
      <w:lvlText w:val="%2"/>
      <w:lvlJc w:val="left"/>
      <w:pPr>
        <w:ind w:left="1449"/>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98E62708">
      <w:start w:val="1"/>
      <w:numFmt w:val="lowerRoman"/>
      <w:lvlText w:val="%3"/>
      <w:lvlJc w:val="left"/>
      <w:pPr>
        <w:ind w:left="2169"/>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DD74476A">
      <w:start w:val="1"/>
      <w:numFmt w:val="decimal"/>
      <w:lvlText w:val="%4"/>
      <w:lvlJc w:val="left"/>
      <w:pPr>
        <w:ind w:left="2889"/>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FF064022">
      <w:start w:val="1"/>
      <w:numFmt w:val="lowerLetter"/>
      <w:lvlText w:val="%5"/>
      <w:lvlJc w:val="left"/>
      <w:pPr>
        <w:ind w:left="3609"/>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D71277BE">
      <w:start w:val="1"/>
      <w:numFmt w:val="lowerRoman"/>
      <w:lvlText w:val="%6"/>
      <w:lvlJc w:val="left"/>
      <w:pPr>
        <w:ind w:left="4329"/>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5394A5B2">
      <w:start w:val="1"/>
      <w:numFmt w:val="decimal"/>
      <w:lvlText w:val="%7"/>
      <w:lvlJc w:val="left"/>
      <w:pPr>
        <w:ind w:left="5049"/>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48B81A4C">
      <w:start w:val="1"/>
      <w:numFmt w:val="lowerLetter"/>
      <w:lvlText w:val="%8"/>
      <w:lvlJc w:val="left"/>
      <w:pPr>
        <w:ind w:left="5769"/>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2166BA0A">
      <w:start w:val="1"/>
      <w:numFmt w:val="lowerRoman"/>
      <w:lvlText w:val="%9"/>
      <w:lvlJc w:val="left"/>
      <w:pPr>
        <w:ind w:left="6489"/>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5" w15:restartNumberingAfterBreak="0">
    <w:nsid w:val="21614ACA"/>
    <w:multiLevelType w:val="hybridMultilevel"/>
    <w:tmpl w:val="DF486B2E"/>
    <w:lvl w:ilvl="0" w:tplc="2FFE8F6E">
      <w:start w:val="1"/>
      <w:numFmt w:val="lowerLetter"/>
      <w:lvlText w:val="%1."/>
      <w:lvlJc w:val="left"/>
      <w:pPr>
        <w:ind w:left="1104"/>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1" w:tplc="D492686E">
      <w:start w:val="1"/>
      <w:numFmt w:val="lowerLetter"/>
      <w:lvlText w:val="%2"/>
      <w:lvlJc w:val="left"/>
      <w:pPr>
        <w:ind w:left="144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BB02D21C">
      <w:start w:val="1"/>
      <w:numFmt w:val="lowerRoman"/>
      <w:lvlText w:val="%3"/>
      <w:lvlJc w:val="left"/>
      <w:pPr>
        <w:ind w:left="216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385C821E">
      <w:start w:val="1"/>
      <w:numFmt w:val="decimal"/>
      <w:lvlText w:val="%4"/>
      <w:lvlJc w:val="left"/>
      <w:pPr>
        <w:ind w:left="288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20A47C72">
      <w:start w:val="1"/>
      <w:numFmt w:val="lowerLetter"/>
      <w:lvlText w:val="%5"/>
      <w:lvlJc w:val="left"/>
      <w:pPr>
        <w:ind w:left="360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B4D4C2B0">
      <w:start w:val="1"/>
      <w:numFmt w:val="lowerRoman"/>
      <w:lvlText w:val="%6"/>
      <w:lvlJc w:val="left"/>
      <w:pPr>
        <w:ind w:left="432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5016CA9C">
      <w:start w:val="1"/>
      <w:numFmt w:val="decimal"/>
      <w:lvlText w:val="%7"/>
      <w:lvlJc w:val="left"/>
      <w:pPr>
        <w:ind w:left="504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4F9A44BC">
      <w:start w:val="1"/>
      <w:numFmt w:val="lowerLetter"/>
      <w:lvlText w:val="%8"/>
      <w:lvlJc w:val="left"/>
      <w:pPr>
        <w:ind w:left="576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3FB0B866">
      <w:start w:val="1"/>
      <w:numFmt w:val="lowerRoman"/>
      <w:lvlText w:val="%9"/>
      <w:lvlJc w:val="left"/>
      <w:pPr>
        <w:ind w:left="648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6" w15:restartNumberingAfterBreak="0">
    <w:nsid w:val="283535FF"/>
    <w:multiLevelType w:val="multilevel"/>
    <w:tmpl w:val="86C22D3E"/>
    <w:lvl w:ilvl="0">
      <w:start w:val="3"/>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5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2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0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7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4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1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8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2A456635"/>
    <w:multiLevelType w:val="multilevel"/>
    <w:tmpl w:val="79B0E106"/>
    <w:lvl w:ilvl="0">
      <w:start w:val="1"/>
      <w:numFmt w:val="decimal"/>
      <w:lvlText w:val="%1."/>
      <w:lvlJc w:val="left"/>
      <w:pPr>
        <w:ind w:left="5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2"/>
      <w:numFmt w:val="decimal"/>
      <w:lvlText w:val="%1.%2."/>
      <w:lvlJc w:val="left"/>
      <w:pPr>
        <w:ind w:left="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decimal"/>
      <w:lvlText w:val="%1.%2.%3."/>
      <w:lvlJc w:val="left"/>
      <w:pPr>
        <w:ind w:left="14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8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4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2A5258A6"/>
    <w:multiLevelType w:val="hybridMultilevel"/>
    <w:tmpl w:val="AEAC986C"/>
    <w:lvl w:ilvl="0" w:tplc="080A000F">
      <w:start w:val="1"/>
      <w:numFmt w:val="decimal"/>
      <w:lvlText w:val="%1."/>
      <w:lvlJc w:val="left"/>
      <w:pPr>
        <w:ind w:left="373" w:hanging="360"/>
      </w:pPr>
    </w:lvl>
    <w:lvl w:ilvl="1" w:tplc="080A0019" w:tentative="1">
      <w:start w:val="1"/>
      <w:numFmt w:val="lowerLetter"/>
      <w:lvlText w:val="%2."/>
      <w:lvlJc w:val="left"/>
      <w:pPr>
        <w:ind w:left="1093" w:hanging="360"/>
      </w:pPr>
    </w:lvl>
    <w:lvl w:ilvl="2" w:tplc="080A001B" w:tentative="1">
      <w:start w:val="1"/>
      <w:numFmt w:val="lowerRoman"/>
      <w:lvlText w:val="%3."/>
      <w:lvlJc w:val="right"/>
      <w:pPr>
        <w:ind w:left="1813" w:hanging="180"/>
      </w:pPr>
    </w:lvl>
    <w:lvl w:ilvl="3" w:tplc="080A000F" w:tentative="1">
      <w:start w:val="1"/>
      <w:numFmt w:val="decimal"/>
      <w:lvlText w:val="%4."/>
      <w:lvlJc w:val="left"/>
      <w:pPr>
        <w:ind w:left="2533" w:hanging="360"/>
      </w:pPr>
    </w:lvl>
    <w:lvl w:ilvl="4" w:tplc="080A0019" w:tentative="1">
      <w:start w:val="1"/>
      <w:numFmt w:val="lowerLetter"/>
      <w:lvlText w:val="%5."/>
      <w:lvlJc w:val="left"/>
      <w:pPr>
        <w:ind w:left="3253" w:hanging="360"/>
      </w:pPr>
    </w:lvl>
    <w:lvl w:ilvl="5" w:tplc="080A001B" w:tentative="1">
      <w:start w:val="1"/>
      <w:numFmt w:val="lowerRoman"/>
      <w:lvlText w:val="%6."/>
      <w:lvlJc w:val="right"/>
      <w:pPr>
        <w:ind w:left="3973" w:hanging="180"/>
      </w:pPr>
    </w:lvl>
    <w:lvl w:ilvl="6" w:tplc="080A000F" w:tentative="1">
      <w:start w:val="1"/>
      <w:numFmt w:val="decimal"/>
      <w:lvlText w:val="%7."/>
      <w:lvlJc w:val="left"/>
      <w:pPr>
        <w:ind w:left="4693" w:hanging="360"/>
      </w:pPr>
    </w:lvl>
    <w:lvl w:ilvl="7" w:tplc="080A0019" w:tentative="1">
      <w:start w:val="1"/>
      <w:numFmt w:val="lowerLetter"/>
      <w:lvlText w:val="%8."/>
      <w:lvlJc w:val="left"/>
      <w:pPr>
        <w:ind w:left="5413" w:hanging="360"/>
      </w:pPr>
    </w:lvl>
    <w:lvl w:ilvl="8" w:tplc="080A001B" w:tentative="1">
      <w:start w:val="1"/>
      <w:numFmt w:val="lowerRoman"/>
      <w:lvlText w:val="%9."/>
      <w:lvlJc w:val="right"/>
      <w:pPr>
        <w:ind w:left="6133" w:hanging="180"/>
      </w:pPr>
    </w:lvl>
  </w:abstractNum>
  <w:abstractNum w:abstractNumId="9" w15:restartNumberingAfterBreak="0">
    <w:nsid w:val="2B081BCC"/>
    <w:multiLevelType w:val="hybridMultilevel"/>
    <w:tmpl w:val="0916100A"/>
    <w:lvl w:ilvl="0" w:tplc="758AAA0A">
      <w:start w:val="1"/>
      <w:numFmt w:val="bullet"/>
      <w:lvlText w:val=""/>
      <w:lvlPicBulletId w:val="0"/>
      <w:lvlJc w:val="left"/>
      <w:pPr>
        <w:tabs>
          <w:tab w:val="num" w:pos="1824"/>
        </w:tabs>
        <w:ind w:left="1824" w:hanging="360"/>
      </w:pPr>
      <w:rPr>
        <w:rFonts w:ascii="Symbol" w:hAnsi="Symbol" w:hint="default"/>
      </w:rPr>
    </w:lvl>
    <w:lvl w:ilvl="1" w:tplc="080A0003" w:tentative="1">
      <w:start w:val="1"/>
      <w:numFmt w:val="bullet"/>
      <w:lvlText w:val="o"/>
      <w:lvlJc w:val="left"/>
      <w:pPr>
        <w:ind w:left="2544" w:hanging="360"/>
      </w:pPr>
      <w:rPr>
        <w:rFonts w:ascii="Courier New" w:hAnsi="Courier New" w:cs="Courier New" w:hint="default"/>
      </w:rPr>
    </w:lvl>
    <w:lvl w:ilvl="2" w:tplc="080A0005" w:tentative="1">
      <w:start w:val="1"/>
      <w:numFmt w:val="bullet"/>
      <w:lvlText w:val=""/>
      <w:lvlJc w:val="left"/>
      <w:pPr>
        <w:ind w:left="3264" w:hanging="360"/>
      </w:pPr>
      <w:rPr>
        <w:rFonts w:ascii="Wingdings" w:hAnsi="Wingdings" w:hint="default"/>
      </w:rPr>
    </w:lvl>
    <w:lvl w:ilvl="3" w:tplc="080A0001" w:tentative="1">
      <w:start w:val="1"/>
      <w:numFmt w:val="bullet"/>
      <w:lvlText w:val=""/>
      <w:lvlJc w:val="left"/>
      <w:pPr>
        <w:ind w:left="3984" w:hanging="360"/>
      </w:pPr>
      <w:rPr>
        <w:rFonts w:ascii="Symbol" w:hAnsi="Symbol" w:hint="default"/>
      </w:rPr>
    </w:lvl>
    <w:lvl w:ilvl="4" w:tplc="080A0003" w:tentative="1">
      <w:start w:val="1"/>
      <w:numFmt w:val="bullet"/>
      <w:lvlText w:val="o"/>
      <w:lvlJc w:val="left"/>
      <w:pPr>
        <w:ind w:left="4704" w:hanging="360"/>
      </w:pPr>
      <w:rPr>
        <w:rFonts w:ascii="Courier New" w:hAnsi="Courier New" w:cs="Courier New" w:hint="default"/>
      </w:rPr>
    </w:lvl>
    <w:lvl w:ilvl="5" w:tplc="080A0005" w:tentative="1">
      <w:start w:val="1"/>
      <w:numFmt w:val="bullet"/>
      <w:lvlText w:val=""/>
      <w:lvlJc w:val="left"/>
      <w:pPr>
        <w:ind w:left="5424" w:hanging="360"/>
      </w:pPr>
      <w:rPr>
        <w:rFonts w:ascii="Wingdings" w:hAnsi="Wingdings" w:hint="default"/>
      </w:rPr>
    </w:lvl>
    <w:lvl w:ilvl="6" w:tplc="080A0001" w:tentative="1">
      <w:start w:val="1"/>
      <w:numFmt w:val="bullet"/>
      <w:lvlText w:val=""/>
      <w:lvlJc w:val="left"/>
      <w:pPr>
        <w:ind w:left="6144" w:hanging="360"/>
      </w:pPr>
      <w:rPr>
        <w:rFonts w:ascii="Symbol" w:hAnsi="Symbol" w:hint="default"/>
      </w:rPr>
    </w:lvl>
    <w:lvl w:ilvl="7" w:tplc="080A0003" w:tentative="1">
      <w:start w:val="1"/>
      <w:numFmt w:val="bullet"/>
      <w:lvlText w:val="o"/>
      <w:lvlJc w:val="left"/>
      <w:pPr>
        <w:ind w:left="6864" w:hanging="360"/>
      </w:pPr>
      <w:rPr>
        <w:rFonts w:ascii="Courier New" w:hAnsi="Courier New" w:cs="Courier New" w:hint="default"/>
      </w:rPr>
    </w:lvl>
    <w:lvl w:ilvl="8" w:tplc="080A0005" w:tentative="1">
      <w:start w:val="1"/>
      <w:numFmt w:val="bullet"/>
      <w:lvlText w:val=""/>
      <w:lvlJc w:val="left"/>
      <w:pPr>
        <w:ind w:left="7584" w:hanging="360"/>
      </w:pPr>
      <w:rPr>
        <w:rFonts w:ascii="Wingdings" w:hAnsi="Wingdings" w:hint="default"/>
      </w:rPr>
    </w:lvl>
  </w:abstractNum>
  <w:abstractNum w:abstractNumId="10" w15:restartNumberingAfterBreak="0">
    <w:nsid w:val="30503695"/>
    <w:multiLevelType w:val="hybridMultilevel"/>
    <w:tmpl w:val="40B00106"/>
    <w:lvl w:ilvl="0" w:tplc="080A0001">
      <w:start w:val="1"/>
      <w:numFmt w:val="bullet"/>
      <w:lvlText w:val=""/>
      <w:lvlJc w:val="left"/>
      <w:pPr>
        <w:ind w:left="1459" w:hanging="360"/>
      </w:pPr>
      <w:rPr>
        <w:rFonts w:ascii="Symbol" w:hAnsi="Symbol" w:hint="default"/>
      </w:rPr>
    </w:lvl>
    <w:lvl w:ilvl="1" w:tplc="080A0003" w:tentative="1">
      <w:start w:val="1"/>
      <w:numFmt w:val="bullet"/>
      <w:lvlText w:val="o"/>
      <w:lvlJc w:val="left"/>
      <w:pPr>
        <w:ind w:left="2179" w:hanging="360"/>
      </w:pPr>
      <w:rPr>
        <w:rFonts w:ascii="Courier New" w:hAnsi="Courier New" w:cs="Courier New" w:hint="default"/>
      </w:rPr>
    </w:lvl>
    <w:lvl w:ilvl="2" w:tplc="080A0005" w:tentative="1">
      <w:start w:val="1"/>
      <w:numFmt w:val="bullet"/>
      <w:lvlText w:val=""/>
      <w:lvlJc w:val="left"/>
      <w:pPr>
        <w:ind w:left="2899" w:hanging="360"/>
      </w:pPr>
      <w:rPr>
        <w:rFonts w:ascii="Wingdings" w:hAnsi="Wingdings" w:hint="default"/>
      </w:rPr>
    </w:lvl>
    <w:lvl w:ilvl="3" w:tplc="080A0001" w:tentative="1">
      <w:start w:val="1"/>
      <w:numFmt w:val="bullet"/>
      <w:lvlText w:val=""/>
      <w:lvlJc w:val="left"/>
      <w:pPr>
        <w:ind w:left="3619" w:hanging="360"/>
      </w:pPr>
      <w:rPr>
        <w:rFonts w:ascii="Symbol" w:hAnsi="Symbol" w:hint="default"/>
      </w:rPr>
    </w:lvl>
    <w:lvl w:ilvl="4" w:tplc="080A0003" w:tentative="1">
      <w:start w:val="1"/>
      <w:numFmt w:val="bullet"/>
      <w:lvlText w:val="o"/>
      <w:lvlJc w:val="left"/>
      <w:pPr>
        <w:ind w:left="4339" w:hanging="360"/>
      </w:pPr>
      <w:rPr>
        <w:rFonts w:ascii="Courier New" w:hAnsi="Courier New" w:cs="Courier New" w:hint="default"/>
      </w:rPr>
    </w:lvl>
    <w:lvl w:ilvl="5" w:tplc="080A0005" w:tentative="1">
      <w:start w:val="1"/>
      <w:numFmt w:val="bullet"/>
      <w:lvlText w:val=""/>
      <w:lvlJc w:val="left"/>
      <w:pPr>
        <w:ind w:left="5059" w:hanging="360"/>
      </w:pPr>
      <w:rPr>
        <w:rFonts w:ascii="Wingdings" w:hAnsi="Wingdings" w:hint="default"/>
      </w:rPr>
    </w:lvl>
    <w:lvl w:ilvl="6" w:tplc="080A0001" w:tentative="1">
      <w:start w:val="1"/>
      <w:numFmt w:val="bullet"/>
      <w:lvlText w:val=""/>
      <w:lvlJc w:val="left"/>
      <w:pPr>
        <w:ind w:left="5779" w:hanging="360"/>
      </w:pPr>
      <w:rPr>
        <w:rFonts w:ascii="Symbol" w:hAnsi="Symbol" w:hint="default"/>
      </w:rPr>
    </w:lvl>
    <w:lvl w:ilvl="7" w:tplc="080A0003" w:tentative="1">
      <w:start w:val="1"/>
      <w:numFmt w:val="bullet"/>
      <w:lvlText w:val="o"/>
      <w:lvlJc w:val="left"/>
      <w:pPr>
        <w:ind w:left="6499" w:hanging="360"/>
      </w:pPr>
      <w:rPr>
        <w:rFonts w:ascii="Courier New" w:hAnsi="Courier New" w:cs="Courier New" w:hint="default"/>
      </w:rPr>
    </w:lvl>
    <w:lvl w:ilvl="8" w:tplc="080A0005" w:tentative="1">
      <w:start w:val="1"/>
      <w:numFmt w:val="bullet"/>
      <w:lvlText w:val=""/>
      <w:lvlJc w:val="left"/>
      <w:pPr>
        <w:ind w:left="7219" w:hanging="360"/>
      </w:pPr>
      <w:rPr>
        <w:rFonts w:ascii="Wingdings" w:hAnsi="Wingdings" w:hint="default"/>
      </w:rPr>
    </w:lvl>
  </w:abstractNum>
  <w:abstractNum w:abstractNumId="11" w15:restartNumberingAfterBreak="0">
    <w:nsid w:val="394B3C3A"/>
    <w:multiLevelType w:val="hybridMultilevel"/>
    <w:tmpl w:val="8BE8C1BA"/>
    <w:lvl w:ilvl="0" w:tplc="7FF20906">
      <w:start w:val="1"/>
      <w:numFmt w:val="lowerLetter"/>
      <w:lvlText w:val="%1."/>
      <w:lvlJc w:val="left"/>
      <w:pPr>
        <w:ind w:left="110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1" w:tplc="7392431C">
      <w:start w:val="1"/>
      <w:numFmt w:val="lowerLetter"/>
      <w:lvlText w:val="%2"/>
      <w:lvlJc w:val="left"/>
      <w:pPr>
        <w:ind w:left="1449"/>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DED63212">
      <w:start w:val="1"/>
      <w:numFmt w:val="lowerRoman"/>
      <w:lvlText w:val="%3"/>
      <w:lvlJc w:val="left"/>
      <w:pPr>
        <w:ind w:left="2169"/>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33C8C8F8">
      <w:start w:val="1"/>
      <w:numFmt w:val="decimal"/>
      <w:lvlText w:val="%4"/>
      <w:lvlJc w:val="left"/>
      <w:pPr>
        <w:ind w:left="2889"/>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7BEA6272">
      <w:start w:val="1"/>
      <w:numFmt w:val="lowerLetter"/>
      <w:lvlText w:val="%5"/>
      <w:lvlJc w:val="left"/>
      <w:pPr>
        <w:ind w:left="3609"/>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0A94417A">
      <w:start w:val="1"/>
      <w:numFmt w:val="lowerRoman"/>
      <w:lvlText w:val="%6"/>
      <w:lvlJc w:val="left"/>
      <w:pPr>
        <w:ind w:left="4329"/>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4D4AA78A">
      <w:start w:val="1"/>
      <w:numFmt w:val="decimal"/>
      <w:lvlText w:val="%7"/>
      <w:lvlJc w:val="left"/>
      <w:pPr>
        <w:ind w:left="5049"/>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0D1060B6">
      <w:start w:val="1"/>
      <w:numFmt w:val="lowerLetter"/>
      <w:lvlText w:val="%8"/>
      <w:lvlJc w:val="left"/>
      <w:pPr>
        <w:ind w:left="5769"/>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8008437A">
      <w:start w:val="1"/>
      <w:numFmt w:val="lowerRoman"/>
      <w:lvlText w:val="%9"/>
      <w:lvlJc w:val="left"/>
      <w:pPr>
        <w:ind w:left="6489"/>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12" w15:restartNumberingAfterBreak="0">
    <w:nsid w:val="3A4646BD"/>
    <w:multiLevelType w:val="hybridMultilevel"/>
    <w:tmpl w:val="FDFC6CC2"/>
    <w:lvl w:ilvl="0" w:tplc="080A0001">
      <w:start w:val="1"/>
      <w:numFmt w:val="bullet"/>
      <w:lvlText w:val=""/>
      <w:lvlJc w:val="left"/>
      <w:pPr>
        <w:ind w:left="734" w:hanging="360"/>
      </w:pPr>
      <w:rPr>
        <w:rFonts w:ascii="Symbol" w:hAnsi="Symbol" w:hint="default"/>
      </w:rPr>
    </w:lvl>
    <w:lvl w:ilvl="1" w:tplc="080A0003" w:tentative="1">
      <w:start w:val="1"/>
      <w:numFmt w:val="bullet"/>
      <w:lvlText w:val="o"/>
      <w:lvlJc w:val="left"/>
      <w:pPr>
        <w:ind w:left="1454" w:hanging="360"/>
      </w:pPr>
      <w:rPr>
        <w:rFonts w:ascii="Courier New" w:hAnsi="Courier New" w:cs="Courier New" w:hint="default"/>
      </w:rPr>
    </w:lvl>
    <w:lvl w:ilvl="2" w:tplc="080A0005" w:tentative="1">
      <w:start w:val="1"/>
      <w:numFmt w:val="bullet"/>
      <w:lvlText w:val=""/>
      <w:lvlJc w:val="left"/>
      <w:pPr>
        <w:ind w:left="2174" w:hanging="360"/>
      </w:pPr>
      <w:rPr>
        <w:rFonts w:ascii="Wingdings" w:hAnsi="Wingdings" w:hint="default"/>
      </w:rPr>
    </w:lvl>
    <w:lvl w:ilvl="3" w:tplc="080A0001" w:tentative="1">
      <w:start w:val="1"/>
      <w:numFmt w:val="bullet"/>
      <w:lvlText w:val=""/>
      <w:lvlJc w:val="left"/>
      <w:pPr>
        <w:ind w:left="2894" w:hanging="360"/>
      </w:pPr>
      <w:rPr>
        <w:rFonts w:ascii="Symbol" w:hAnsi="Symbol" w:hint="default"/>
      </w:rPr>
    </w:lvl>
    <w:lvl w:ilvl="4" w:tplc="080A0003" w:tentative="1">
      <w:start w:val="1"/>
      <w:numFmt w:val="bullet"/>
      <w:lvlText w:val="o"/>
      <w:lvlJc w:val="left"/>
      <w:pPr>
        <w:ind w:left="3614" w:hanging="360"/>
      </w:pPr>
      <w:rPr>
        <w:rFonts w:ascii="Courier New" w:hAnsi="Courier New" w:cs="Courier New" w:hint="default"/>
      </w:rPr>
    </w:lvl>
    <w:lvl w:ilvl="5" w:tplc="080A0005" w:tentative="1">
      <w:start w:val="1"/>
      <w:numFmt w:val="bullet"/>
      <w:lvlText w:val=""/>
      <w:lvlJc w:val="left"/>
      <w:pPr>
        <w:ind w:left="4334" w:hanging="360"/>
      </w:pPr>
      <w:rPr>
        <w:rFonts w:ascii="Wingdings" w:hAnsi="Wingdings" w:hint="default"/>
      </w:rPr>
    </w:lvl>
    <w:lvl w:ilvl="6" w:tplc="080A0001" w:tentative="1">
      <w:start w:val="1"/>
      <w:numFmt w:val="bullet"/>
      <w:lvlText w:val=""/>
      <w:lvlJc w:val="left"/>
      <w:pPr>
        <w:ind w:left="5054" w:hanging="360"/>
      </w:pPr>
      <w:rPr>
        <w:rFonts w:ascii="Symbol" w:hAnsi="Symbol" w:hint="default"/>
      </w:rPr>
    </w:lvl>
    <w:lvl w:ilvl="7" w:tplc="080A0003" w:tentative="1">
      <w:start w:val="1"/>
      <w:numFmt w:val="bullet"/>
      <w:lvlText w:val="o"/>
      <w:lvlJc w:val="left"/>
      <w:pPr>
        <w:ind w:left="5774" w:hanging="360"/>
      </w:pPr>
      <w:rPr>
        <w:rFonts w:ascii="Courier New" w:hAnsi="Courier New" w:cs="Courier New" w:hint="default"/>
      </w:rPr>
    </w:lvl>
    <w:lvl w:ilvl="8" w:tplc="080A0005" w:tentative="1">
      <w:start w:val="1"/>
      <w:numFmt w:val="bullet"/>
      <w:lvlText w:val=""/>
      <w:lvlJc w:val="left"/>
      <w:pPr>
        <w:ind w:left="6494" w:hanging="360"/>
      </w:pPr>
      <w:rPr>
        <w:rFonts w:ascii="Wingdings" w:hAnsi="Wingdings" w:hint="default"/>
      </w:rPr>
    </w:lvl>
  </w:abstractNum>
  <w:abstractNum w:abstractNumId="13" w15:restartNumberingAfterBreak="0">
    <w:nsid w:val="3BB71242"/>
    <w:multiLevelType w:val="hybridMultilevel"/>
    <w:tmpl w:val="58E26E60"/>
    <w:lvl w:ilvl="0" w:tplc="DE0E49B6">
      <w:start w:val="2"/>
      <w:numFmt w:val="lowerLetter"/>
      <w:lvlText w:val="%1."/>
      <w:lvlJc w:val="left"/>
      <w:pPr>
        <w:ind w:left="72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22BCCB02">
      <w:start w:val="1"/>
      <w:numFmt w:val="bullet"/>
      <w:lvlText w:val="•"/>
      <w:lvlPicBulletId w:val="0"/>
      <w:lvlJc w:val="left"/>
      <w:pPr>
        <w:ind w:left="110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92AFFBA">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5F0F8AC">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2C2FCF8">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8EE1148">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E8C4824">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430C5D8">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C32B872">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3C9314E6"/>
    <w:multiLevelType w:val="hybridMultilevel"/>
    <w:tmpl w:val="F9CED818"/>
    <w:lvl w:ilvl="0" w:tplc="C8F85158">
      <w:start w:val="1"/>
      <w:numFmt w:val="bullet"/>
      <w:lvlText w:val="•"/>
      <w:lvlPicBulletId w:val="0"/>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1FECE92">
      <w:start w:val="1"/>
      <w:numFmt w:val="bullet"/>
      <w:lvlText w:val="o"/>
      <w:lvlJc w:val="left"/>
      <w:pPr>
        <w:ind w:left="17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B78A87A">
      <w:start w:val="1"/>
      <w:numFmt w:val="bullet"/>
      <w:lvlText w:val="▪"/>
      <w:lvlJc w:val="left"/>
      <w:pPr>
        <w:ind w:left="25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B8446F0">
      <w:start w:val="1"/>
      <w:numFmt w:val="bullet"/>
      <w:lvlText w:val="•"/>
      <w:lvlJc w:val="left"/>
      <w:pPr>
        <w:ind w:left="32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3087C00">
      <w:start w:val="1"/>
      <w:numFmt w:val="bullet"/>
      <w:lvlText w:val="o"/>
      <w:lvlJc w:val="left"/>
      <w:pPr>
        <w:ind w:left="39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B82759E">
      <w:start w:val="1"/>
      <w:numFmt w:val="bullet"/>
      <w:lvlText w:val="▪"/>
      <w:lvlJc w:val="left"/>
      <w:pPr>
        <w:ind w:left="46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90C82E6">
      <w:start w:val="1"/>
      <w:numFmt w:val="bullet"/>
      <w:lvlText w:val="•"/>
      <w:lvlJc w:val="left"/>
      <w:pPr>
        <w:ind w:left="53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678ABDC">
      <w:start w:val="1"/>
      <w:numFmt w:val="bullet"/>
      <w:lvlText w:val="o"/>
      <w:lvlJc w:val="left"/>
      <w:pPr>
        <w:ind w:left="61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5EE8378">
      <w:start w:val="1"/>
      <w:numFmt w:val="bullet"/>
      <w:lvlText w:val="▪"/>
      <w:lvlJc w:val="left"/>
      <w:pPr>
        <w:ind w:left="68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3D2D1A8D"/>
    <w:multiLevelType w:val="hybridMultilevel"/>
    <w:tmpl w:val="8D3E019C"/>
    <w:lvl w:ilvl="0" w:tplc="2C8447F6">
      <w:start w:val="1"/>
      <w:numFmt w:val="lowerLetter"/>
      <w:lvlText w:val="%1."/>
      <w:lvlJc w:val="left"/>
      <w:pPr>
        <w:ind w:left="1089"/>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1" w:tplc="0B10D6B2">
      <w:start w:val="1"/>
      <w:numFmt w:val="lowerLetter"/>
      <w:lvlText w:val="%2"/>
      <w:lvlJc w:val="left"/>
      <w:pPr>
        <w:ind w:left="1449"/>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EB801DF8">
      <w:start w:val="1"/>
      <w:numFmt w:val="lowerRoman"/>
      <w:lvlText w:val="%3"/>
      <w:lvlJc w:val="left"/>
      <w:pPr>
        <w:ind w:left="2169"/>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1ACAF9BA">
      <w:start w:val="1"/>
      <w:numFmt w:val="decimal"/>
      <w:lvlText w:val="%4"/>
      <w:lvlJc w:val="left"/>
      <w:pPr>
        <w:ind w:left="2889"/>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FB5E06B8">
      <w:start w:val="1"/>
      <w:numFmt w:val="lowerLetter"/>
      <w:lvlText w:val="%5"/>
      <w:lvlJc w:val="left"/>
      <w:pPr>
        <w:ind w:left="3609"/>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1CCABDFE">
      <w:start w:val="1"/>
      <w:numFmt w:val="lowerRoman"/>
      <w:lvlText w:val="%6"/>
      <w:lvlJc w:val="left"/>
      <w:pPr>
        <w:ind w:left="4329"/>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3348B6A4">
      <w:start w:val="1"/>
      <w:numFmt w:val="decimal"/>
      <w:lvlText w:val="%7"/>
      <w:lvlJc w:val="left"/>
      <w:pPr>
        <w:ind w:left="5049"/>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5694E1A6">
      <w:start w:val="1"/>
      <w:numFmt w:val="lowerLetter"/>
      <w:lvlText w:val="%8"/>
      <w:lvlJc w:val="left"/>
      <w:pPr>
        <w:ind w:left="5769"/>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53DCBA78">
      <w:start w:val="1"/>
      <w:numFmt w:val="lowerRoman"/>
      <w:lvlText w:val="%9"/>
      <w:lvlJc w:val="left"/>
      <w:pPr>
        <w:ind w:left="6489"/>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16" w15:restartNumberingAfterBreak="0">
    <w:nsid w:val="4CF064B1"/>
    <w:multiLevelType w:val="hybridMultilevel"/>
    <w:tmpl w:val="6B9E0C64"/>
    <w:lvl w:ilvl="0" w:tplc="080A000F">
      <w:start w:val="1"/>
      <w:numFmt w:val="decimal"/>
      <w:lvlText w:val="%1."/>
      <w:lvlJc w:val="left"/>
      <w:pPr>
        <w:ind w:left="373" w:hanging="360"/>
      </w:pPr>
    </w:lvl>
    <w:lvl w:ilvl="1" w:tplc="080A0019" w:tentative="1">
      <w:start w:val="1"/>
      <w:numFmt w:val="lowerLetter"/>
      <w:lvlText w:val="%2."/>
      <w:lvlJc w:val="left"/>
      <w:pPr>
        <w:ind w:left="1093" w:hanging="360"/>
      </w:pPr>
    </w:lvl>
    <w:lvl w:ilvl="2" w:tplc="080A001B" w:tentative="1">
      <w:start w:val="1"/>
      <w:numFmt w:val="lowerRoman"/>
      <w:lvlText w:val="%3."/>
      <w:lvlJc w:val="right"/>
      <w:pPr>
        <w:ind w:left="1813" w:hanging="180"/>
      </w:pPr>
    </w:lvl>
    <w:lvl w:ilvl="3" w:tplc="080A000F" w:tentative="1">
      <w:start w:val="1"/>
      <w:numFmt w:val="decimal"/>
      <w:lvlText w:val="%4."/>
      <w:lvlJc w:val="left"/>
      <w:pPr>
        <w:ind w:left="2533" w:hanging="360"/>
      </w:pPr>
    </w:lvl>
    <w:lvl w:ilvl="4" w:tplc="080A0019" w:tentative="1">
      <w:start w:val="1"/>
      <w:numFmt w:val="lowerLetter"/>
      <w:lvlText w:val="%5."/>
      <w:lvlJc w:val="left"/>
      <w:pPr>
        <w:ind w:left="3253" w:hanging="360"/>
      </w:pPr>
    </w:lvl>
    <w:lvl w:ilvl="5" w:tplc="080A001B" w:tentative="1">
      <w:start w:val="1"/>
      <w:numFmt w:val="lowerRoman"/>
      <w:lvlText w:val="%6."/>
      <w:lvlJc w:val="right"/>
      <w:pPr>
        <w:ind w:left="3973" w:hanging="180"/>
      </w:pPr>
    </w:lvl>
    <w:lvl w:ilvl="6" w:tplc="080A000F" w:tentative="1">
      <w:start w:val="1"/>
      <w:numFmt w:val="decimal"/>
      <w:lvlText w:val="%7."/>
      <w:lvlJc w:val="left"/>
      <w:pPr>
        <w:ind w:left="4693" w:hanging="360"/>
      </w:pPr>
    </w:lvl>
    <w:lvl w:ilvl="7" w:tplc="080A0019" w:tentative="1">
      <w:start w:val="1"/>
      <w:numFmt w:val="lowerLetter"/>
      <w:lvlText w:val="%8."/>
      <w:lvlJc w:val="left"/>
      <w:pPr>
        <w:ind w:left="5413" w:hanging="360"/>
      </w:pPr>
    </w:lvl>
    <w:lvl w:ilvl="8" w:tplc="080A001B" w:tentative="1">
      <w:start w:val="1"/>
      <w:numFmt w:val="lowerRoman"/>
      <w:lvlText w:val="%9."/>
      <w:lvlJc w:val="right"/>
      <w:pPr>
        <w:ind w:left="6133" w:hanging="180"/>
      </w:pPr>
    </w:lvl>
  </w:abstractNum>
  <w:abstractNum w:abstractNumId="17" w15:restartNumberingAfterBreak="0">
    <w:nsid w:val="4DCC414A"/>
    <w:multiLevelType w:val="hybridMultilevel"/>
    <w:tmpl w:val="FE5CB148"/>
    <w:lvl w:ilvl="0" w:tplc="9D788026">
      <w:start w:val="1"/>
      <w:numFmt w:val="lowerLetter"/>
      <w:lvlText w:val="%1."/>
      <w:lvlJc w:val="left"/>
      <w:pPr>
        <w:ind w:left="729"/>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1" w:tplc="8EC252D6">
      <w:start w:val="1"/>
      <w:numFmt w:val="lowerLetter"/>
      <w:lvlText w:val="%2"/>
      <w:lvlJc w:val="left"/>
      <w:pPr>
        <w:ind w:left="144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41A0FD4C">
      <w:start w:val="1"/>
      <w:numFmt w:val="lowerRoman"/>
      <w:lvlText w:val="%3"/>
      <w:lvlJc w:val="left"/>
      <w:pPr>
        <w:ind w:left="216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D6A4D846">
      <w:start w:val="1"/>
      <w:numFmt w:val="decimal"/>
      <w:lvlText w:val="%4"/>
      <w:lvlJc w:val="left"/>
      <w:pPr>
        <w:ind w:left="288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731093BA">
      <w:start w:val="1"/>
      <w:numFmt w:val="lowerLetter"/>
      <w:lvlText w:val="%5"/>
      <w:lvlJc w:val="left"/>
      <w:pPr>
        <w:ind w:left="360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BA305662">
      <w:start w:val="1"/>
      <w:numFmt w:val="lowerRoman"/>
      <w:lvlText w:val="%6"/>
      <w:lvlJc w:val="left"/>
      <w:pPr>
        <w:ind w:left="432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5680C852">
      <w:start w:val="1"/>
      <w:numFmt w:val="decimal"/>
      <w:lvlText w:val="%7"/>
      <w:lvlJc w:val="left"/>
      <w:pPr>
        <w:ind w:left="504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ABAA1EE2">
      <w:start w:val="1"/>
      <w:numFmt w:val="lowerLetter"/>
      <w:lvlText w:val="%8"/>
      <w:lvlJc w:val="left"/>
      <w:pPr>
        <w:ind w:left="576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264A416C">
      <w:start w:val="1"/>
      <w:numFmt w:val="lowerRoman"/>
      <w:lvlText w:val="%9"/>
      <w:lvlJc w:val="left"/>
      <w:pPr>
        <w:ind w:left="648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18" w15:restartNumberingAfterBreak="0">
    <w:nsid w:val="509A6C58"/>
    <w:multiLevelType w:val="hybridMultilevel"/>
    <w:tmpl w:val="76EA4F3A"/>
    <w:lvl w:ilvl="0" w:tplc="758AAA0A">
      <w:start w:val="1"/>
      <w:numFmt w:val="bullet"/>
      <w:lvlText w:val=""/>
      <w:lvlPicBulletId w:val="3"/>
      <w:lvlJc w:val="left"/>
      <w:pPr>
        <w:tabs>
          <w:tab w:val="num" w:pos="720"/>
        </w:tabs>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51840BAA"/>
    <w:multiLevelType w:val="hybridMultilevel"/>
    <w:tmpl w:val="30E6594E"/>
    <w:lvl w:ilvl="0" w:tplc="81843FB6">
      <w:start w:val="1"/>
      <w:numFmt w:val="lowerLetter"/>
      <w:lvlText w:val="%1."/>
      <w:lvlJc w:val="left"/>
      <w:pPr>
        <w:ind w:left="729"/>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1" w:tplc="AF6C4B92">
      <w:start w:val="1"/>
      <w:numFmt w:val="lowerLetter"/>
      <w:lvlText w:val="%2"/>
      <w:lvlJc w:val="left"/>
      <w:pPr>
        <w:ind w:left="144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6CF6A37E">
      <w:start w:val="1"/>
      <w:numFmt w:val="lowerRoman"/>
      <w:lvlText w:val="%3"/>
      <w:lvlJc w:val="left"/>
      <w:pPr>
        <w:ind w:left="216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BF48D6AC">
      <w:start w:val="1"/>
      <w:numFmt w:val="decimal"/>
      <w:lvlText w:val="%4"/>
      <w:lvlJc w:val="left"/>
      <w:pPr>
        <w:ind w:left="288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2F428230">
      <w:start w:val="1"/>
      <w:numFmt w:val="lowerLetter"/>
      <w:lvlText w:val="%5"/>
      <w:lvlJc w:val="left"/>
      <w:pPr>
        <w:ind w:left="360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CC6E4D06">
      <w:start w:val="1"/>
      <w:numFmt w:val="lowerRoman"/>
      <w:lvlText w:val="%6"/>
      <w:lvlJc w:val="left"/>
      <w:pPr>
        <w:ind w:left="432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487C448C">
      <w:start w:val="1"/>
      <w:numFmt w:val="decimal"/>
      <w:lvlText w:val="%7"/>
      <w:lvlJc w:val="left"/>
      <w:pPr>
        <w:ind w:left="504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306850A2">
      <w:start w:val="1"/>
      <w:numFmt w:val="lowerLetter"/>
      <w:lvlText w:val="%8"/>
      <w:lvlJc w:val="left"/>
      <w:pPr>
        <w:ind w:left="576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A6989B4A">
      <w:start w:val="1"/>
      <w:numFmt w:val="lowerRoman"/>
      <w:lvlText w:val="%9"/>
      <w:lvlJc w:val="left"/>
      <w:pPr>
        <w:ind w:left="648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20" w15:restartNumberingAfterBreak="0">
    <w:nsid w:val="56FA0957"/>
    <w:multiLevelType w:val="hybridMultilevel"/>
    <w:tmpl w:val="DAFECC86"/>
    <w:lvl w:ilvl="0" w:tplc="080A0017">
      <w:start w:val="1"/>
      <w:numFmt w:val="low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1" w15:restartNumberingAfterBreak="0">
    <w:nsid w:val="57F2181C"/>
    <w:multiLevelType w:val="hybridMultilevel"/>
    <w:tmpl w:val="33A4A1A0"/>
    <w:lvl w:ilvl="0" w:tplc="29668362">
      <w:start w:val="1"/>
      <w:numFmt w:val="lowerLetter"/>
      <w:lvlText w:val="%1."/>
      <w:lvlJc w:val="left"/>
      <w:pPr>
        <w:ind w:left="1104"/>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1" w:tplc="B1B27BE6">
      <w:start w:val="1"/>
      <w:numFmt w:val="lowerLetter"/>
      <w:lvlText w:val="%2"/>
      <w:lvlJc w:val="left"/>
      <w:pPr>
        <w:ind w:left="144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A75E55D2">
      <w:start w:val="1"/>
      <w:numFmt w:val="lowerRoman"/>
      <w:lvlText w:val="%3"/>
      <w:lvlJc w:val="left"/>
      <w:pPr>
        <w:ind w:left="216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DF5690A6">
      <w:start w:val="1"/>
      <w:numFmt w:val="decimal"/>
      <w:lvlText w:val="%4"/>
      <w:lvlJc w:val="left"/>
      <w:pPr>
        <w:ind w:left="288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AA68CC82">
      <w:start w:val="1"/>
      <w:numFmt w:val="lowerLetter"/>
      <w:lvlText w:val="%5"/>
      <w:lvlJc w:val="left"/>
      <w:pPr>
        <w:ind w:left="360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4B345922">
      <w:start w:val="1"/>
      <w:numFmt w:val="lowerRoman"/>
      <w:lvlText w:val="%6"/>
      <w:lvlJc w:val="left"/>
      <w:pPr>
        <w:ind w:left="432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F4D2BE22">
      <w:start w:val="1"/>
      <w:numFmt w:val="decimal"/>
      <w:lvlText w:val="%7"/>
      <w:lvlJc w:val="left"/>
      <w:pPr>
        <w:ind w:left="504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9D2AF5DA">
      <w:start w:val="1"/>
      <w:numFmt w:val="lowerLetter"/>
      <w:lvlText w:val="%8"/>
      <w:lvlJc w:val="left"/>
      <w:pPr>
        <w:ind w:left="576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70B40AD2">
      <w:start w:val="1"/>
      <w:numFmt w:val="lowerRoman"/>
      <w:lvlText w:val="%9"/>
      <w:lvlJc w:val="left"/>
      <w:pPr>
        <w:ind w:left="648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22" w15:restartNumberingAfterBreak="0">
    <w:nsid w:val="5C4F06DA"/>
    <w:multiLevelType w:val="hybridMultilevel"/>
    <w:tmpl w:val="360CE8FC"/>
    <w:lvl w:ilvl="0" w:tplc="C04A6154">
      <w:start w:val="13"/>
      <w:numFmt w:val="decimal"/>
      <w:lvlText w:val="%1"/>
      <w:lvlJc w:val="left"/>
      <w:pPr>
        <w:ind w:left="57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1" w:tplc="3FCE485E">
      <w:start w:val="1"/>
      <w:numFmt w:val="lowerLetter"/>
      <w:lvlText w:val="%2"/>
      <w:lvlJc w:val="left"/>
      <w:pPr>
        <w:ind w:left="1234"/>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2" w:tplc="94DAF298">
      <w:start w:val="1"/>
      <w:numFmt w:val="lowerRoman"/>
      <w:lvlText w:val="%3"/>
      <w:lvlJc w:val="left"/>
      <w:pPr>
        <w:ind w:left="1954"/>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3" w:tplc="411E7FA8">
      <w:start w:val="1"/>
      <w:numFmt w:val="decimal"/>
      <w:lvlText w:val="%4"/>
      <w:lvlJc w:val="left"/>
      <w:pPr>
        <w:ind w:left="2674"/>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4" w:tplc="B5C8555A">
      <w:start w:val="1"/>
      <w:numFmt w:val="lowerLetter"/>
      <w:lvlText w:val="%5"/>
      <w:lvlJc w:val="left"/>
      <w:pPr>
        <w:ind w:left="3394"/>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5" w:tplc="C25CC41C">
      <w:start w:val="1"/>
      <w:numFmt w:val="lowerRoman"/>
      <w:lvlText w:val="%6"/>
      <w:lvlJc w:val="left"/>
      <w:pPr>
        <w:ind w:left="4114"/>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6" w:tplc="DF9E34CC">
      <w:start w:val="1"/>
      <w:numFmt w:val="decimal"/>
      <w:lvlText w:val="%7"/>
      <w:lvlJc w:val="left"/>
      <w:pPr>
        <w:ind w:left="4834"/>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7" w:tplc="CAA6FEE8">
      <w:start w:val="1"/>
      <w:numFmt w:val="lowerLetter"/>
      <w:lvlText w:val="%8"/>
      <w:lvlJc w:val="left"/>
      <w:pPr>
        <w:ind w:left="5554"/>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8" w:tplc="A8AA23C4">
      <w:start w:val="1"/>
      <w:numFmt w:val="lowerRoman"/>
      <w:lvlText w:val="%9"/>
      <w:lvlJc w:val="left"/>
      <w:pPr>
        <w:ind w:left="6274"/>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abstractNum>
  <w:abstractNum w:abstractNumId="23" w15:restartNumberingAfterBreak="0">
    <w:nsid w:val="5D874BEA"/>
    <w:multiLevelType w:val="hybridMultilevel"/>
    <w:tmpl w:val="2638BE06"/>
    <w:lvl w:ilvl="0" w:tplc="99C6E9E0">
      <w:start w:val="1"/>
      <w:numFmt w:val="lowerLetter"/>
      <w:lvlText w:val="%1."/>
      <w:lvlJc w:val="left"/>
      <w:pPr>
        <w:ind w:left="1104"/>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1" w:tplc="C71298CE">
      <w:start w:val="1"/>
      <w:numFmt w:val="lowerLetter"/>
      <w:lvlText w:val="%2"/>
      <w:lvlJc w:val="left"/>
      <w:pPr>
        <w:ind w:left="144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824E6D12">
      <w:start w:val="1"/>
      <w:numFmt w:val="lowerRoman"/>
      <w:lvlText w:val="%3"/>
      <w:lvlJc w:val="left"/>
      <w:pPr>
        <w:ind w:left="216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BA6674BA">
      <w:start w:val="1"/>
      <w:numFmt w:val="decimal"/>
      <w:lvlText w:val="%4"/>
      <w:lvlJc w:val="left"/>
      <w:pPr>
        <w:ind w:left="288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7E18F5BA">
      <w:start w:val="1"/>
      <w:numFmt w:val="lowerLetter"/>
      <w:lvlText w:val="%5"/>
      <w:lvlJc w:val="left"/>
      <w:pPr>
        <w:ind w:left="360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A00EBDEC">
      <w:start w:val="1"/>
      <w:numFmt w:val="lowerRoman"/>
      <w:lvlText w:val="%6"/>
      <w:lvlJc w:val="left"/>
      <w:pPr>
        <w:ind w:left="432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B6BCBCFC">
      <w:start w:val="1"/>
      <w:numFmt w:val="decimal"/>
      <w:lvlText w:val="%7"/>
      <w:lvlJc w:val="left"/>
      <w:pPr>
        <w:ind w:left="504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C5C21DA4">
      <w:start w:val="1"/>
      <w:numFmt w:val="lowerLetter"/>
      <w:lvlText w:val="%8"/>
      <w:lvlJc w:val="left"/>
      <w:pPr>
        <w:ind w:left="576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A5F4FA5A">
      <w:start w:val="1"/>
      <w:numFmt w:val="lowerRoman"/>
      <w:lvlText w:val="%9"/>
      <w:lvlJc w:val="left"/>
      <w:pPr>
        <w:ind w:left="648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24" w15:restartNumberingAfterBreak="0">
    <w:nsid w:val="71C15823"/>
    <w:multiLevelType w:val="hybridMultilevel"/>
    <w:tmpl w:val="D9A41988"/>
    <w:lvl w:ilvl="0" w:tplc="C7CA1AB2">
      <w:start w:val="1"/>
      <w:numFmt w:val="lowerLetter"/>
      <w:lvlText w:val="%1."/>
      <w:lvlJc w:val="left"/>
      <w:pPr>
        <w:ind w:left="729"/>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1" w:tplc="A4C24AA6">
      <w:start w:val="1"/>
      <w:numFmt w:val="lowerLetter"/>
      <w:lvlText w:val="%2"/>
      <w:lvlJc w:val="left"/>
      <w:pPr>
        <w:ind w:left="144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3F0AB3A6">
      <w:start w:val="1"/>
      <w:numFmt w:val="lowerRoman"/>
      <w:lvlText w:val="%3"/>
      <w:lvlJc w:val="left"/>
      <w:pPr>
        <w:ind w:left="216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7FE28184">
      <w:start w:val="1"/>
      <w:numFmt w:val="decimal"/>
      <w:lvlText w:val="%4"/>
      <w:lvlJc w:val="left"/>
      <w:pPr>
        <w:ind w:left="288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02F6EDE4">
      <w:start w:val="1"/>
      <w:numFmt w:val="lowerLetter"/>
      <w:lvlText w:val="%5"/>
      <w:lvlJc w:val="left"/>
      <w:pPr>
        <w:ind w:left="360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C6984236">
      <w:start w:val="1"/>
      <w:numFmt w:val="lowerRoman"/>
      <w:lvlText w:val="%6"/>
      <w:lvlJc w:val="left"/>
      <w:pPr>
        <w:ind w:left="432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8222EA8E">
      <w:start w:val="1"/>
      <w:numFmt w:val="decimal"/>
      <w:lvlText w:val="%7"/>
      <w:lvlJc w:val="left"/>
      <w:pPr>
        <w:ind w:left="504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E0A6DE9C">
      <w:start w:val="1"/>
      <w:numFmt w:val="lowerLetter"/>
      <w:lvlText w:val="%8"/>
      <w:lvlJc w:val="left"/>
      <w:pPr>
        <w:ind w:left="576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C812E92A">
      <w:start w:val="1"/>
      <w:numFmt w:val="lowerRoman"/>
      <w:lvlText w:val="%9"/>
      <w:lvlJc w:val="left"/>
      <w:pPr>
        <w:ind w:left="648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25" w15:restartNumberingAfterBreak="0">
    <w:nsid w:val="73486B62"/>
    <w:multiLevelType w:val="hybridMultilevel"/>
    <w:tmpl w:val="A3685296"/>
    <w:lvl w:ilvl="0" w:tplc="9C5CF828">
      <w:start w:val="1"/>
      <w:numFmt w:val="bullet"/>
      <w:lvlText w:val="•"/>
      <w:lvlPicBulletId w:val="0"/>
      <w:lvlJc w:val="left"/>
      <w:pPr>
        <w:ind w:left="7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0A29A2E">
      <w:start w:val="1"/>
      <w:numFmt w:val="bullet"/>
      <w:lvlText w:val="o"/>
      <w:lvlJc w:val="left"/>
      <w:pPr>
        <w:ind w:left="18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E58B0A2">
      <w:start w:val="1"/>
      <w:numFmt w:val="bullet"/>
      <w:lvlText w:val="▪"/>
      <w:lvlJc w:val="left"/>
      <w:pPr>
        <w:ind w:left="25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428ED3E">
      <w:start w:val="1"/>
      <w:numFmt w:val="bullet"/>
      <w:lvlText w:val="•"/>
      <w:lvlJc w:val="left"/>
      <w:pPr>
        <w:ind w:left="32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234CCB6">
      <w:start w:val="1"/>
      <w:numFmt w:val="bullet"/>
      <w:lvlText w:val="o"/>
      <w:lvlJc w:val="left"/>
      <w:pPr>
        <w:ind w:left="39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1B40C76">
      <w:start w:val="1"/>
      <w:numFmt w:val="bullet"/>
      <w:lvlText w:val="▪"/>
      <w:lvlJc w:val="left"/>
      <w:pPr>
        <w:ind w:left="46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8909932">
      <w:start w:val="1"/>
      <w:numFmt w:val="bullet"/>
      <w:lvlText w:val="•"/>
      <w:lvlJc w:val="left"/>
      <w:pPr>
        <w:ind w:left="54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512958C">
      <w:start w:val="1"/>
      <w:numFmt w:val="bullet"/>
      <w:lvlText w:val="o"/>
      <w:lvlJc w:val="left"/>
      <w:pPr>
        <w:ind w:left="61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5C6205A">
      <w:start w:val="1"/>
      <w:numFmt w:val="bullet"/>
      <w:lvlText w:val="▪"/>
      <w:lvlJc w:val="left"/>
      <w:pPr>
        <w:ind w:left="68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6" w15:restartNumberingAfterBreak="0">
    <w:nsid w:val="75F63E21"/>
    <w:multiLevelType w:val="hybridMultilevel"/>
    <w:tmpl w:val="7C402950"/>
    <w:lvl w:ilvl="0" w:tplc="45183932">
      <w:start w:val="9"/>
      <w:numFmt w:val="decimal"/>
      <w:lvlText w:val="%1"/>
      <w:lvlJc w:val="left"/>
      <w:pPr>
        <w:ind w:left="571"/>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1" w:tplc="9B6032B6">
      <w:start w:val="1"/>
      <w:numFmt w:val="bullet"/>
      <w:lvlText w:val="•"/>
      <w:lvlPicBulletId w:val="2"/>
      <w:lvlJc w:val="left"/>
      <w:pPr>
        <w:ind w:left="739"/>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C4B87DDC">
      <w:start w:val="1"/>
      <w:numFmt w:val="bullet"/>
      <w:lvlText w:val="▪"/>
      <w:lvlJc w:val="left"/>
      <w:pPr>
        <w:ind w:left="1819"/>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F1527138">
      <w:start w:val="1"/>
      <w:numFmt w:val="bullet"/>
      <w:lvlText w:val="•"/>
      <w:lvlJc w:val="left"/>
      <w:pPr>
        <w:ind w:left="2539"/>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E4F88A4E">
      <w:start w:val="1"/>
      <w:numFmt w:val="bullet"/>
      <w:lvlText w:val="o"/>
      <w:lvlJc w:val="left"/>
      <w:pPr>
        <w:ind w:left="3259"/>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78A49E96">
      <w:start w:val="1"/>
      <w:numFmt w:val="bullet"/>
      <w:lvlText w:val="▪"/>
      <w:lvlJc w:val="left"/>
      <w:pPr>
        <w:ind w:left="3979"/>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6326379A">
      <w:start w:val="1"/>
      <w:numFmt w:val="bullet"/>
      <w:lvlText w:val="•"/>
      <w:lvlJc w:val="left"/>
      <w:pPr>
        <w:ind w:left="4699"/>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8572DAFA">
      <w:start w:val="1"/>
      <w:numFmt w:val="bullet"/>
      <w:lvlText w:val="o"/>
      <w:lvlJc w:val="left"/>
      <w:pPr>
        <w:ind w:left="5419"/>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6B2E335C">
      <w:start w:val="1"/>
      <w:numFmt w:val="bullet"/>
      <w:lvlText w:val="▪"/>
      <w:lvlJc w:val="left"/>
      <w:pPr>
        <w:ind w:left="6139"/>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27" w15:restartNumberingAfterBreak="0">
    <w:nsid w:val="78B7529F"/>
    <w:multiLevelType w:val="hybridMultilevel"/>
    <w:tmpl w:val="C79EA26E"/>
    <w:lvl w:ilvl="0" w:tplc="D6D093A2">
      <w:start w:val="3"/>
      <w:numFmt w:val="lowerLetter"/>
      <w:lvlText w:val="%1."/>
      <w:lvlJc w:val="left"/>
      <w:pPr>
        <w:ind w:left="109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51B876B2">
      <w:start w:val="1"/>
      <w:numFmt w:val="lowerLetter"/>
      <w:lvlText w:val="%2"/>
      <w:lvlJc w:val="left"/>
      <w:pPr>
        <w:ind w:left="143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2DDC9904">
      <w:start w:val="1"/>
      <w:numFmt w:val="lowerRoman"/>
      <w:lvlText w:val="%3"/>
      <w:lvlJc w:val="left"/>
      <w:pPr>
        <w:ind w:left="215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9724E03E">
      <w:start w:val="1"/>
      <w:numFmt w:val="decimal"/>
      <w:lvlText w:val="%4"/>
      <w:lvlJc w:val="left"/>
      <w:pPr>
        <w:ind w:left="287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4C943556">
      <w:start w:val="1"/>
      <w:numFmt w:val="lowerLetter"/>
      <w:lvlText w:val="%5"/>
      <w:lvlJc w:val="left"/>
      <w:pPr>
        <w:ind w:left="359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75BC0C6C">
      <w:start w:val="1"/>
      <w:numFmt w:val="lowerRoman"/>
      <w:lvlText w:val="%6"/>
      <w:lvlJc w:val="left"/>
      <w:pPr>
        <w:ind w:left="431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D2A0C8AA">
      <w:start w:val="1"/>
      <w:numFmt w:val="decimal"/>
      <w:lvlText w:val="%7"/>
      <w:lvlJc w:val="left"/>
      <w:pPr>
        <w:ind w:left="503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98BCE03C">
      <w:start w:val="1"/>
      <w:numFmt w:val="lowerLetter"/>
      <w:lvlText w:val="%8"/>
      <w:lvlJc w:val="left"/>
      <w:pPr>
        <w:ind w:left="575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1A48924C">
      <w:start w:val="1"/>
      <w:numFmt w:val="lowerRoman"/>
      <w:lvlText w:val="%9"/>
      <w:lvlJc w:val="left"/>
      <w:pPr>
        <w:ind w:left="647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28" w15:restartNumberingAfterBreak="0">
    <w:nsid w:val="7ED16432"/>
    <w:multiLevelType w:val="hybridMultilevel"/>
    <w:tmpl w:val="19228306"/>
    <w:lvl w:ilvl="0" w:tplc="181AF7CE">
      <w:start w:val="1"/>
      <w:numFmt w:val="lowerLetter"/>
      <w:lvlText w:val="%1."/>
      <w:lvlJc w:val="left"/>
      <w:pPr>
        <w:ind w:left="1104"/>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1" w:tplc="5C243FEC">
      <w:start w:val="1"/>
      <w:numFmt w:val="lowerLetter"/>
      <w:lvlText w:val="%2"/>
      <w:lvlJc w:val="left"/>
      <w:pPr>
        <w:ind w:left="144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93942F8A">
      <w:start w:val="1"/>
      <w:numFmt w:val="lowerRoman"/>
      <w:lvlText w:val="%3"/>
      <w:lvlJc w:val="left"/>
      <w:pPr>
        <w:ind w:left="216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0D340256">
      <w:start w:val="1"/>
      <w:numFmt w:val="decimal"/>
      <w:lvlText w:val="%4"/>
      <w:lvlJc w:val="left"/>
      <w:pPr>
        <w:ind w:left="288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DBE6AC2C">
      <w:start w:val="1"/>
      <w:numFmt w:val="lowerLetter"/>
      <w:lvlText w:val="%5"/>
      <w:lvlJc w:val="left"/>
      <w:pPr>
        <w:ind w:left="360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BE4054D6">
      <w:start w:val="1"/>
      <w:numFmt w:val="lowerRoman"/>
      <w:lvlText w:val="%6"/>
      <w:lvlJc w:val="left"/>
      <w:pPr>
        <w:ind w:left="432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FBD6D7A4">
      <w:start w:val="1"/>
      <w:numFmt w:val="decimal"/>
      <w:lvlText w:val="%7"/>
      <w:lvlJc w:val="left"/>
      <w:pPr>
        <w:ind w:left="504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3C9A4A1A">
      <w:start w:val="1"/>
      <w:numFmt w:val="lowerLetter"/>
      <w:lvlText w:val="%8"/>
      <w:lvlJc w:val="left"/>
      <w:pPr>
        <w:ind w:left="576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513A9B06">
      <w:start w:val="1"/>
      <w:numFmt w:val="lowerRoman"/>
      <w:lvlText w:val="%9"/>
      <w:lvlJc w:val="left"/>
      <w:pPr>
        <w:ind w:left="648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29" w15:restartNumberingAfterBreak="0">
    <w:nsid w:val="7F164D39"/>
    <w:multiLevelType w:val="multilevel"/>
    <w:tmpl w:val="77C2DAAE"/>
    <w:lvl w:ilvl="0">
      <w:start w:val="3"/>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3"/>
      <w:numFmt w:val="decimal"/>
      <w:lvlText w:val="%1.%2."/>
      <w:lvlJc w:val="left"/>
      <w:pPr>
        <w:ind w:left="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5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2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0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7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4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1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8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7"/>
  </w:num>
  <w:num w:numId="2">
    <w:abstractNumId w:val="6"/>
  </w:num>
  <w:num w:numId="3">
    <w:abstractNumId w:val="29"/>
  </w:num>
  <w:num w:numId="4">
    <w:abstractNumId w:val="24"/>
  </w:num>
  <w:num w:numId="5">
    <w:abstractNumId w:val="19"/>
  </w:num>
  <w:num w:numId="6">
    <w:abstractNumId w:val="25"/>
  </w:num>
  <w:num w:numId="7">
    <w:abstractNumId w:val="13"/>
  </w:num>
  <w:num w:numId="8">
    <w:abstractNumId w:val="14"/>
  </w:num>
  <w:num w:numId="9">
    <w:abstractNumId w:val="2"/>
  </w:num>
  <w:num w:numId="10">
    <w:abstractNumId w:val="26"/>
  </w:num>
  <w:num w:numId="11">
    <w:abstractNumId w:val="17"/>
  </w:num>
  <w:num w:numId="12">
    <w:abstractNumId w:val="4"/>
  </w:num>
  <w:num w:numId="13">
    <w:abstractNumId w:val="21"/>
  </w:num>
  <w:num w:numId="14">
    <w:abstractNumId w:val="11"/>
  </w:num>
  <w:num w:numId="15">
    <w:abstractNumId w:val="27"/>
  </w:num>
  <w:num w:numId="16">
    <w:abstractNumId w:val="28"/>
  </w:num>
  <w:num w:numId="17">
    <w:abstractNumId w:val="22"/>
  </w:num>
  <w:num w:numId="18">
    <w:abstractNumId w:val="15"/>
  </w:num>
  <w:num w:numId="19">
    <w:abstractNumId w:val="1"/>
  </w:num>
  <w:num w:numId="20">
    <w:abstractNumId w:val="5"/>
  </w:num>
  <w:num w:numId="21">
    <w:abstractNumId w:val="23"/>
  </w:num>
  <w:num w:numId="22">
    <w:abstractNumId w:val="12"/>
  </w:num>
  <w:num w:numId="23">
    <w:abstractNumId w:val="16"/>
  </w:num>
  <w:num w:numId="24">
    <w:abstractNumId w:val="8"/>
  </w:num>
  <w:num w:numId="25">
    <w:abstractNumId w:val="10"/>
  </w:num>
  <w:num w:numId="26">
    <w:abstractNumId w:val="3"/>
  </w:num>
  <w:num w:numId="27">
    <w:abstractNumId w:val="18"/>
  </w:num>
  <w:num w:numId="28">
    <w:abstractNumId w:val="20"/>
  </w:num>
  <w:num w:numId="29">
    <w:abstractNumId w:val="9"/>
  </w:num>
  <w:num w:numId="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ynthia Sanabria">
    <w15:presenceInfo w15:providerId="Windows Live" w15:userId="f53d203944920e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637"/>
    <w:rsid w:val="0004355F"/>
    <w:rsid w:val="001F26D0"/>
    <w:rsid w:val="00211AA8"/>
    <w:rsid w:val="00253DFB"/>
    <w:rsid w:val="0028109D"/>
    <w:rsid w:val="002F2081"/>
    <w:rsid w:val="0031049F"/>
    <w:rsid w:val="00325F08"/>
    <w:rsid w:val="00363433"/>
    <w:rsid w:val="003B19B8"/>
    <w:rsid w:val="003C2AC2"/>
    <w:rsid w:val="004878F3"/>
    <w:rsid w:val="004A3598"/>
    <w:rsid w:val="004A771F"/>
    <w:rsid w:val="00580F49"/>
    <w:rsid w:val="005B7A2B"/>
    <w:rsid w:val="005D006A"/>
    <w:rsid w:val="00625637"/>
    <w:rsid w:val="0066294B"/>
    <w:rsid w:val="00672354"/>
    <w:rsid w:val="00684AF3"/>
    <w:rsid w:val="006E63DF"/>
    <w:rsid w:val="006F18B9"/>
    <w:rsid w:val="0071264E"/>
    <w:rsid w:val="00784A85"/>
    <w:rsid w:val="007B171B"/>
    <w:rsid w:val="007E2149"/>
    <w:rsid w:val="00853B44"/>
    <w:rsid w:val="0087575E"/>
    <w:rsid w:val="008A7158"/>
    <w:rsid w:val="008B4D7E"/>
    <w:rsid w:val="008F4B22"/>
    <w:rsid w:val="00911B6D"/>
    <w:rsid w:val="00A061A2"/>
    <w:rsid w:val="00A13FD1"/>
    <w:rsid w:val="00A57D2C"/>
    <w:rsid w:val="00B0322A"/>
    <w:rsid w:val="00BB059A"/>
    <w:rsid w:val="00C27E45"/>
    <w:rsid w:val="00C72103"/>
    <w:rsid w:val="00D02F95"/>
    <w:rsid w:val="00D66C32"/>
    <w:rsid w:val="00DE3930"/>
    <w:rsid w:val="00E44591"/>
    <w:rsid w:val="00EA3202"/>
    <w:rsid w:val="00EC41F7"/>
    <w:rsid w:val="00EF0EA3"/>
    <w:rsid w:val="00F331D5"/>
    <w:rsid w:val="00F8687A"/>
    <w:rsid w:val="00FA640B"/>
    <w:rsid w:val="00FC457F"/>
    <w:rsid w:val="00FC61BA"/>
    <w:rsid w:val="00FF1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C02C5"/>
  <w15:docId w15:val="{67793B5F-F3DC-4F46-A8BB-0E3278C50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MX" w:eastAsia="es-MX"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4" w:line="263" w:lineRule="auto"/>
      <w:ind w:left="499" w:firstLine="9"/>
      <w:jc w:val="both"/>
    </w:pPr>
    <w:rPr>
      <w:rFonts w:ascii="Times New Roman" w:eastAsia="Times New Roman" w:hAnsi="Times New Roman" w:cs="Times New Roman"/>
      <w:color w:val="000000"/>
      <w:sz w:val="26"/>
    </w:rPr>
  </w:style>
  <w:style w:type="paragraph" w:styleId="Ttulo1">
    <w:name w:val="heading 1"/>
    <w:next w:val="Normal"/>
    <w:link w:val="Ttulo1Car"/>
    <w:uiPriority w:val="9"/>
    <w:qFormat/>
    <w:pPr>
      <w:keepNext/>
      <w:keepLines/>
      <w:spacing w:after="3"/>
      <w:ind w:left="39" w:hanging="10"/>
      <w:outlineLvl w:val="0"/>
    </w:pPr>
    <w:rPr>
      <w:rFonts w:ascii="Times New Roman" w:eastAsia="Times New Roman" w:hAnsi="Times New Roman" w:cs="Times New Roman"/>
      <w:color w:val="000000"/>
      <w:sz w:val="54"/>
    </w:rPr>
  </w:style>
  <w:style w:type="paragraph" w:styleId="Ttulo2">
    <w:name w:val="heading 2"/>
    <w:next w:val="Normal"/>
    <w:link w:val="Ttulo2Car"/>
    <w:uiPriority w:val="9"/>
    <w:unhideWhenUsed/>
    <w:qFormat/>
    <w:pPr>
      <w:keepNext/>
      <w:keepLines/>
      <w:spacing w:after="53"/>
      <w:ind w:left="39" w:hanging="10"/>
      <w:outlineLvl w:val="1"/>
    </w:pPr>
    <w:rPr>
      <w:rFonts w:ascii="Times New Roman" w:eastAsia="Times New Roman" w:hAnsi="Times New Roman" w:cs="Times New Roman"/>
      <w:color w:val="000000"/>
      <w:sz w:val="42"/>
    </w:rPr>
  </w:style>
  <w:style w:type="paragraph" w:styleId="Ttulo3">
    <w:name w:val="heading 3"/>
    <w:next w:val="Normal"/>
    <w:link w:val="Ttulo3Car"/>
    <w:uiPriority w:val="9"/>
    <w:unhideWhenUsed/>
    <w:qFormat/>
    <w:pPr>
      <w:keepNext/>
      <w:keepLines/>
      <w:spacing w:after="141"/>
      <w:ind w:right="58"/>
      <w:jc w:val="right"/>
      <w:outlineLvl w:val="2"/>
    </w:pPr>
    <w:rPr>
      <w:rFonts w:ascii="Times New Roman" w:eastAsia="Times New Roman" w:hAnsi="Times New Roman" w:cs="Times New Roman"/>
      <w:color w:val="000000"/>
      <w:sz w:val="34"/>
    </w:rPr>
  </w:style>
  <w:style w:type="paragraph" w:styleId="Ttulo4">
    <w:name w:val="heading 4"/>
    <w:next w:val="Normal"/>
    <w:link w:val="Ttulo4Car"/>
    <w:uiPriority w:val="9"/>
    <w:unhideWhenUsed/>
    <w:qFormat/>
    <w:pPr>
      <w:keepNext/>
      <w:keepLines/>
      <w:spacing w:after="305" w:line="260" w:lineRule="auto"/>
      <w:ind w:left="10" w:right="10" w:hanging="10"/>
      <w:jc w:val="right"/>
      <w:outlineLvl w:val="3"/>
    </w:pPr>
    <w:rPr>
      <w:rFonts w:ascii="Times New Roman" w:eastAsia="Times New Roman" w:hAnsi="Times New Roman" w:cs="Times New Roman"/>
      <w:color w:val="000000"/>
      <w:sz w:val="44"/>
    </w:rPr>
  </w:style>
  <w:style w:type="paragraph" w:styleId="Ttulo5">
    <w:name w:val="heading 5"/>
    <w:next w:val="Normal"/>
    <w:link w:val="Ttulo5Car"/>
    <w:uiPriority w:val="9"/>
    <w:unhideWhenUsed/>
    <w:qFormat/>
    <w:pPr>
      <w:keepNext/>
      <w:keepLines/>
      <w:spacing w:after="97"/>
      <w:ind w:left="10" w:hanging="10"/>
      <w:outlineLvl w:val="4"/>
    </w:pPr>
    <w:rPr>
      <w:rFonts w:ascii="Times New Roman" w:eastAsia="Times New Roman" w:hAnsi="Times New Roman" w:cs="Times New Roman"/>
      <w:color w:val="000000"/>
      <w:sz w:val="28"/>
    </w:rPr>
  </w:style>
  <w:style w:type="paragraph" w:styleId="Ttulo6">
    <w:name w:val="heading 6"/>
    <w:next w:val="Normal"/>
    <w:link w:val="Ttulo6Car"/>
    <w:uiPriority w:val="9"/>
    <w:unhideWhenUsed/>
    <w:qFormat/>
    <w:pPr>
      <w:keepNext/>
      <w:keepLines/>
      <w:spacing w:after="97"/>
      <w:ind w:left="10" w:hanging="10"/>
      <w:outlineLvl w:val="5"/>
    </w:pPr>
    <w:rPr>
      <w:rFonts w:ascii="Times New Roman" w:eastAsia="Times New Roman" w:hAnsi="Times New Roman" w:cs="Times New Roman"/>
      <w:color w:val="000000"/>
      <w:sz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link w:val="Ttulo3"/>
    <w:rPr>
      <w:rFonts w:ascii="Times New Roman" w:eastAsia="Times New Roman" w:hAnsi="Times New Roman" w:cs="Times New Roman"/>
      <w:color w:val="000000"/>
      <w:sz w:val="34"/>
    </w:rPr>
  </w:style>
  <w:style w:type="character" w:customStyle="1" w:styleId="Ttulo2Car">
    <w:name w:val="Título 2 Car"/>
    <w:link w:val="Ttulo2"/>
    <w:rPr>
      <w:rFonts w:ascii="Times New Roman" w:eastAsia="Times New Roman" w:hAnsi="Times New Roman" w:cs="Times New Roman"/>
      <w:color w:val="000000"/>
      <w:sz w:val="42"/>
    </w:rPr>
  </w:style>
  <w:style w:type="character" w:customStyle="1" w:styleId="Ttulo4Car">
    <w:name w:val="Título 4 Car"/>
    <w:link w:val="Ttulo4"/>
    <w:rPr>
      <w:rFonts w:ascii="Times New Roman" w:eastAsia="Times New Roman" w:hAnsi="Times New Roman" w:cs="Times New Roman"/>
      <w:color w:val="000000"/>
      <w:sz w:val="44"/>
    </w:rPr>
  </w:style>
  <w:style w:type="character" w:customStyle="1" w:styleId="Ttulo1Car">
    <w:name w:val="Título 1 Car"/>
    <w:link w:val="Ttulo1"/>
    <w:rPr>
      <w:rFonts w:ascii="Times New Roman" w:eastAsia="Times New Roman" w:hAnsi="Times New Roman" w:cs="Times New Roman"/>
      <w:color w:val="000000"/>
      <w:sz w:val="54"/>
    </w:rPr>
  </w:style>
  <w:style w:type="paragraph" w:customStyle="1" w:styleId="footnotedescription">
    <w:name w:val="footnote description"/>
    <w:next w:val="Normal"/>
    <w:link w:val="footnotedescriptionChar"/>
    <w:hidden/>
    <w:pPr>
      <w:spacing w:after="0" w:line="216" w:lineRule="auto"/>
      <w:ind w:left="566" w:hanging="422"/>
      <w:jc w:val="both"/>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Pr>
      <w:rFonts w:ascii="Times New Roman" w:eastAsia="Times New Roman" w:hAnsi="Times New Roman" w:cs="Times New Roman"/>
      <w:color w:val="000000"/>
      <w:sz w:val="20"/>
    </w:rPr>
  </w:style>
  <w:style w:type="character" w:customStyle="1" w:styleId="Ttulo5Car">
    <w:name w:val="Título 5 Car"/>
    <w:link w:val="Ttulo5"/>
    <w:rPr>
      <w:rFonts w:ascii="Times New Roman" w:eastAsia="Times New Roman" w:hAnsi="Times New Roman" w:cs="Times New Roman"/>
      <w:color w:val="000000"/>
      <w:sz w:val="28"/>
    </w:rPr>
  </w:style>
  <w:style w:type="character" w:customStyle="1" w:styleId="Ttulo6Car">
    <w:name w:val="Título 6 Car"/>
    <w:link w:val="Ttulo6"/>
    <w:rPr>
      <w:rFonts w:ascii="Times New Roman" w:eastAsia="Times New Roman" w:hAnsi="Times New Roman" w:cs="Times New Roman"/>
      <w:color w:val="000000"/>
      <w:sz w:val="28"/>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tuloTDC">
    <w:name w:val="TOC Heading"/>
    <w:basedOn w:val="Ttulo1"/>
    <w:next w:val="Normal"/>
    <w:uiPriority w:val="39"/>
    <w:unhideWhenUsed/>
    <w:qFormat/>
    <w:rsid w:val="008B4D7E"/>
    <w:pPr>
      <w:spacing w:before="240" w:after="0"/>
      <w:ind w:left="0" w:firstLine="0"/>
      <w:outlineLvl w:val="9"/>
    </w:pPr>
    <w:rPr>
      <w:rFonts w:asciiTheme="majorHAnsi" w:eastAsiaTheme="majorEastAsia" w:hAnsiTheme="majorHAnsi" w:cstheme="majorBidi"/>
      <w:color w:val="2F5496" w:themeColor="accent1" w:themeShade="BF"/>
      <w:sz w:val="32"/>
      <w:szCs w:val="32"/>
    </w:rPr>
  </w:style>
  <w:style w:type="paragraph" w:styleId="TDC1">
    <w:name w:val="toc 1"/>
    <w:basedOn w:val="Normal"/>
    <w:next w:val="Normal"/>
    <w:autoRedefine/>
    <w:uiPriority w:val="39"/>
    <w:unhideWhenUsed/>
    <w:rsid w:val="008B4D7E"/>
    <w:pPr>
      <w:spacing w:after="100"/>
      <w:ind w:left="0"/>
    </w:pPr>
  </w:style>
  <w:style w:type="paragraph" w:styleId="TDC2">
    <w:name w:val="toc 2"/>
    <w:basedOn w:val="Normal"/>
    <w:next w:val="Normal"/>
    <w:autoRedefine/>
    <w:uiPriority w:val="39"/>
    <w:unhideWhenUsed/>
    <w:rsid w:val="008B4D7E"/>
    <w:pPr>
      <w:spacing w:after="100"/>
      <w:ind w:left="260"/>
    </w:pPr>
  </w:style>
  <w:style w:type="paragraph" w:styleId="TDC3">
    <w:name w:val="toc 3"/>
    <w:basedOn w:val="Normal"/>
    <w:next w:val="Normal"/>
    <w:autoRedefine/>
    <w:uiPriority w:val="39"/>
    <w:unhideWhenUsed/>
    <w:rsid w:val="008B4D7E"/>
    <w:pPr>
      <w:spacing w:after="100"/>
      <w:ind w:left="520"/>
    </w:pPr>
  </w:style>
  <w:style w:type="character" w:styleId="Hipervnculo">
    <w:name w:val="Hyperlink"/>
    <w:basedOn w:val="Fuentedeprrafopredeter"/>
    <w:uiPriority w:val="99"/>
    <w:unhideWhenUsed/>
    <w:rsid w:val="008B4D7E"/>
    <w:rPr>
      <w:color w:val="0563C1" w:themeColor="hyperlink"/>
      <w:u w:val="single"/>
    </w:rPr>
  </w:style>
  <w:style w:type="character" w:styleId="Refdecomentario">
    <w:name w:val="annotation reference"/>
    <w:basedOn w:val="Fuentedeprrafopredeter"/>
    <w:uiPriority w:val="99"/>
    <w:semiHidden/>
    <w:unhideWhenUsed/>
    <w:rsid w:val="008B4D7E"/>
    <w:rPr>
      <w:sz w:val="16"/>
      <w:szCs w:val="16"/>
    </w:rPr>
  </w:style>
  <w:style w:type="paragraph" w:styleId="Textocomentario">
    <w:name w:val="annotation text"/>
    <w:basedOn w:val="Normal"/>
    <w:link w:val="TextocomentarioCar"/>
    <w:uiPriority w:val="99"/>
    <w:semiHidden/>
    <w:unhideWhenUsed/>
    <w:rsid w:val="008B4D7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8B4D7E"/>
    <w:rPr>
      <w:rFonts w:ascii="Times New Roman" w:eastAsia="Times New Roman" w:hAnsi="Times New Roman" w:cs="Times New Roman"/>
      <w:color w:val="000000"/>
      <w:sz w:val="20"/>
      <w:szCs w:val="20"/>
    </w:rPr>
  </w:style>
  <w:style w:type="paragraph" w:styleId="Asuntodelcomentario">
    <w:name w:val="annotation subject"/>
    <w:basedOn w:val="Textocomentario"/>
    <w:next w:val="Textocomentario"/>
    <w:link w:val="AsuntodelcomentarioCar"/>
    <w:uiPriority w:val="99"/>
    <w:semiHidden/>
    <w:unhideWhenUsed/>
    <w:rsid w:val="008B4D7E"/>
    <w:rPr>
      <w:b/>
      <w:bCs/>
    </w:rPr>
  </w:style>
  <w:style w:type="character" w:customStyle="1" w:styleId="AsuntodelcomentarioCar">
    <w:name w:val="Asunto del comentario Car"/>
    <w:basedOn w:val="TextocomentarioCar"/>
    <w:link w:val="Asuntodelcomentario"/>
    <w:uiPriority w:val="99"/>
    <w:semiHidden/>
    <w:rsid w:val="008B4D7E"/>
    <w:rPr>
      <w:rFonts w:ascii="Times New Roman" w:eastAsia="Times New Roman" w:hAnsi="Times New Roman" w:cs="Times New Roman"/>
      <w:b/>
      <w:bCs/>
      <w:color w:val="000000"/>
      <w:sz w:val="20"/>
      <w:szCs w:val="20"/>
    </w:rPr>
  </w:style>
  <w:style w:type="paragraph" w:styleId="Prrafodelista">
    <w:name w:val="List Paragraph"/>
    <w:basedOn w:val="Normal"/>
    <w:uiPriority w:val="34"/>
    <w:qFormat/>
    <w:rsid w:val="004A771F"/>
    <w:pPr>
      <w:ind w:left="720"/>
      <w:contextualSpacing/>
    </w:pPr>
  </w:style>
  <w:style w:type="paragraph" w:styleId="Piedepgina">
    <w:name w:val="footer"/>
    <w:basedOn w:val="Normal"/>
    <w:link w:val="PiedepginaCar"/>
    <w:uiPriority w:val="99"/>
    <w:unhideWhenUsed/>
    <w:rsid w:val="00C27E4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27E45"/>
    <w:rPr>
      <w:rFonts w:ascii="Times New Roman" w:eastAsia="Times New Roman" w:hAnsi="Times New Roman" w:cs="Times New Roman"/>
      <w:color w:val="000000"/>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g"/><Relationship Id="rId13" Type="http://schemas.microsoft.com/office/2016/09/relationships/commentsIds" Target="commentsIds.xml"/><Relationship Id="rId18" Type="http://schemas.openxmlformats.org/officeDocument/2006/relationships/image" Target="media/image11.jpeg"/><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image" Target="media/image10.jp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jp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image" Target="media/image8.jpg"/><Relationship Id="rId23" Type="http://schemas.openxmlformats.org/officeDocument/2006/relationships/header" Target="header5.xml"/><Relationship Id="rId10" Type="http://schemas.openxmlformats.org/officeDocument/2006/relationships/image" Target="media/image7.jp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6.jpg"/><Relationship Id="rId14" Type="http://schemas.microsoft.com/office/2018/08/relationships/commentsExtensible" Target="commentsExtensible.xml"/><Relationship Id="rId22" Type="http://schemas.openxmlformats.org/officeDocument/2006/relationships/header" Target="header4.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E3715-B3BC-4EC2-8084-AF2A2A003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1726</TotalTime>
  <Pages>20</Pages>
  <Words>6384</Words>
  <Characters>35117</Characters>
  <Application>Microsoft Office Word</Application>
  <DocSecurity>0</DocSecurity>
  <Lines>292</Lines>
  <Paragraphs>82</Paragraphs>
  <ScaleCrop>false</ScaleCrop>
  <HeadingPairs>
    <vt:vector size="2" baseType="variant">
      <vt:variant>
        <vt:lpstr>Título</vt:lpstr>
      </vt:variant>
      <vt:variant>
        <vt:i4>1</vt:i4>
      </vt:variant>
    </vt:vector>
  </HeadingPairs>
  <TitlesOfParts>
    <vt:vector size="1" baseType="lpstr">
      <vt:lpstr>GUIA_GENERAL_2020.pdf</vt:lpstr>
    </vt:vector>
  </TitlesOfParts>
  <Company/>
  <LinksUpToDate>false</LinksUpToDate>
  <CharactersWithSpaces>41419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GUIA_GENERAL_2020.pdf</dc:title>
  <dc:subject/>
  <dc:creator>Cynthia Sanabria</dc:creator>
  <cp:keywords/>
  <cp:lastModifiedBy>Cynthia Sanabria</cp:lastModifiedBy>
  <cp:revision>16</cp:revision>
  <dcterms:created xsi:type="dcterms:W3CDTF">2024-11-11T19:07:00Z</dcterms:created>
  <dcterms:modified xsi:type="dcterms:W3CDTF">2026-04-20T17:58:00Z</dcterms:modified>
</cp:coreProperties>
</file>